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404E" w14:textId="37A09202" w:rsidR="00D31AC4" w:rsidRDefault="00080D42" w:rsidP="001050DD">
      <w:pPr>
        <w:spacing w:after="0" w:line="240" w:lineRule="auto"/>
        <w:rPr>
          <w:b/>
          <w:bCs/>
          <w:sz w:val="44"/>
          <w:szCs w:val="44"/>
        </w:rPr>
      </w:pPr>
      <w:commentRangeStart w:id="0"/>
      <w:commentRangeStart w:id="1"/>
      <w:r w:rsidRPr="0883AA46">
        <w:rPr>
          <w:b/>
          <w:bCs/>
          <w:sz w:val="44"/>
          <w:szCs w:val="44"/>
        </w:rPr>
        <w:t>Hazard</w:t>
      </w:r>
      <w:commentRangeEnd w:id="0"/>
      <w:r>
        <w:rPr>
          <w:rStyle w:val="CommentReference"/>
        </w:rPr>
        <w:commentReference w:id="0"/>
      </w:r>
      <w:commentRangeEnd w:id="1"/>
      <w:r w:rsidR="0021350E">
        <w:rPr>
          <w:rStyle w:val="CommentReference"/>
        </w:rPr>
        <w:commentReference w:id="1"/>
      </w:r>
      <w:r w:rsidRPr="0883AA46">
        <w:rPr>
          <w:b/>
          <w:bCs/>
          <w:sz w:val="44"/>
          <w:szCs w:val="44"/>
        </w:rPr>
        <w:t xml:space="preserve"> identification  </w:t>
      </w:r>
    </w:p>
    <w:p w14:paraId="260E33CA" w14:textId="77777777" w:rsidR="00720F0E" w:rsidRDefault="00720F0E" w:rsidP="001050DD">
      <w:pPr>
        <w:spacing w:after="0" w:line="240" w:lineRule="auto"/>
        <w:rPr>
          <w:b/>
          <w:bCs/>
          <w:sz w:val="44"/>
          <w:szCs w:val="44"/>
        </w:rPr>
      </w:pPr>
    </w:p>
    <w:p w14:paraId="63D61D15" w14:textId="77777777" w:rsidR="000A7BA6" w:rsidRDefault="000A7BA6" w:rsidP="000A7BA6">
      <w:pPr>
        <w:rPr>
          <w:b/>
          <w:bCs/>
          <w:color w:val="FF0000"/>
          <w:sz w:val="36"/>
          <w:szCs w:val="36"/>
        </w:rPr>
      </w:pPr>
      <w:r w:rsidRPr="001C0810">
        <w:rPr>
          <w:b/>
          <w:bCs/>
          <w:color w:val="FF0000"/>
          <w:sz w:val="36"/>
          <w:szCs w:val="36"/>
        </w:rPr>
        <w:t>Who is the guidance for?</w:t>
      </w:r>
      <w:r>
        <w:rPr>
          <w:b/>
          <w:bCs/>
          <w:color w:val="FF0000"/>
          <w:sz w:val="36"/>
          <w:szCs w:val="36"/>
        </w:rPr>
        <w:t xml:space="preserve"> </w:t>
      </w:r>
    </w:p>
    <w:p w14:paraId="13D28E50" w14:textId="77777777" w:rsidR="008B1DAC" w:rsidRPr="008B1DAC" w:rsidRDefault="008B1DAC" w:rsidP="008B1DAC">
      <w:pPr>
        <w:spacing w:after="0" w:line="240" w:lineRule="auto"/>
        <w:rPr>
          <w:b/>
          <w:bCs/>
          <w:lang w:eastAsia="en-GB"/>
        </w:rPr>
      </w:pPr>
    </w:p>
    <w:p w14:paraId="3426A613" w14:textId="6897E7F4" w:rsidR="001F4B63" w:rsidRPr="001F4B63" w:rsidRDefault="00920F5E" w:rsidP="001F4B63">
      <w:pPr>
        <w:spacing w:after="0" w:line="240" w:lineRule="auto"/>
      </w:pPr>
      <w:r w:rsidRPr="001F4B63">
        <w:t xml:space="preserve">This guidance on </w:t>
      </w:r>
      <w:r w:rsidR="008B1DAC" w:rsidRPr="001F4B63">
        <w:t xml:space="preserve">Hazard </w:t>
      </w:r>
      <w:r w:rsidR="00804EB7" w:rsidRPr="001F4B63">
        <w:t>Ident</w:t>
      </w:r>
      <w:r w:rsidR="00804EB7">
        <w:t>ification</w:t>
      </w:r>
      <w:r w:rsidRPr="001F4B63">
        <w:t xml:space="preserve"> in the Community Risk Management Plan</w:t>
      </w:r>
      <w:r w:rsidR="00854336">
        <w:t>ning</w:t>
      </w:r>
      <w:r w:rsidRPr="001F4B63">
        <w:t xml:space="preserve"> (CRMP) process is for those tasked with leading and managing and developing the CRMP for UK Fire and Rescue Services. </w:t>
      </w:r>
      <w:r w:rsidR="00F337BA">
        <w:t xml:space="preserve"> </w:t>
      </w:r>
      <w:r w:rsidR="001F4B63" w:rsidRPr="001F4B63">
        <w:t xml:space="preserve">According to the </w:t>
      </w:r>
      <w:hyperlink r:id="rId15" w:history="1">
        <w:r w:rsidR="001F4B63" w:rsidRPr="001F4B63">
          <w:rPr>
            <w:rStyle w:val="Hyperlink"/>
          </w:rPr>
          <w:t>CRMP Approved Fire Standard</w:t>
        </w:r>
      </w:hyperlink>
      <w:r w:rsidR="001F4B63" w:rsidRPr="001F4B63">
        <w:t>, fire and rescue services must:</w:t>
      </w:r>
    </w:p>
    <w:p w14:paraId="49BDF5E0" w14:textId="77777777" w:rsidR="001F4B63" w:rsidRPr="001F4B63" w:rsidRDefault="001F4B63" w:rsidP="001F4B63">
      <w:pPr>
        <w:spacing w:after="0" w:line="240" w:lineRule="auto"/>
      </w:pPr>
    </w:p>
    <w:p w14:paraId="178E7D73" w14:textId="77777777" w:rsidR="001F4B63" w:rsidRPr="001F4B63" w:rsidRDefault="001F4B63" w:rsidP="001F4B63">
      <w:pPr>
        <w:spacing w:after="0" w:line="240" w:lineRule="auto"/>
        <w:rPr>
          <w:b/>
          <w:bCs/>
          <w:lang w:eastAsia="en-GB"/>
        </w:rPr>
      </w:pPr>
      <w:r w:rsidRPr="001F4B63">
        <w:rPr>
          <w:b/>
          <w:bCs/>
          <w:lang w:eastAsia="en-GB"/>
        </w:rPr>
        <w:t xml:space="preserve">Identify and describe the existing and emerging local, </w:t>
      </w:r>
      <w:proofErr w:type="gramStart"/>
      <w:r w:rsidRPr="001F4B63">
        <w:rPr>
          <w:b/>
          <w:bCs/>
          <w:lang w:eastAsia="en-GB"/>
        </w:rPr>
        <w:t>regional</w:t>
      </w:r>
      <w:proofErr w:type="gramEnd"/>
      <w:r w:rsidRPr="001F4B63">
        <w:rPr>
          <w:b/>
          <w:bCs/>
          <w:lang w:eastAsia="en-GB"/>
        </w:rPr>
        <w:t xml:space="preserve"> and national hazards it faces, the hazardous events that could arise and the risk groups (People, Place, Environment and Economy) that could be harmed.</w:t>
      </w:r>
    </w:p>
    <w:p w14:paraId="64A97E41" w14:textId="77777777" w:rsidR="00F337BA" w:rsidRDefault="00F337BA" w:rsidP="00920F5E"/>
    <w:p w14:paraId="11AAFE5E" w14:textId="440DE8D1" w:rsidR="00920F5E" w:rsidRPr="001F4B63" w:rsidRDefault="00920F5E" w:rsidP="00920F5E">
      <w:r w:rsidRPr="001F4B63">
        <w:t>In 2020, the NFCC’s Community Risk Programme (CRP) through its Definition of Risk (DOR)</w:t>
      </w:r>
      <w:commentRangeStart w:id="2"/>
      <w:commentRangeStart w:id="3"/>
      <w:r w:rsidRPr="001F4B63">
        <w:t xml:space="preserve"> </w:t>
      </w:r>
      <w:commentRangeEnd w:id="2"/>
      <w:r w:rsidRPr="001F4B63">
        <w:rPr>
          <w:rStyle w:val="CommentReference"/>
          <w:sz w:val="22"/>
          <w:szCs w:val="22"/>
        </w:rPr>
        <w:commentReference w:id="2"/>
      </w:r>
      <w:commentRangeEnd w:id="3"/>
      <w:r w:rsidRPr="001F4B63">
        <w:rPr>
          <w:rStyle w:val="CommentReference"/>
          <w:sz w:val="22"/>
          <w:szCs w:val="22"/>
        </w:rPr>
        <w:commentReference w:id="3"/>
      </w:r>
      <w:r w:rsidRPr="001F4B63">
        <w:t xml:space="preserve">project, delivered a national definition of risk, a </w:t>
      </w:r>
      <w:r w:rsidRPr="009A5564">
        <w:rPr>
          <w:b/>
          <w:bCs/>
          <w:highlight w:val="yellow"/>
        </w:rPr>
        <w:t>glossary of risk-related terms</w:t>
      </w:r>
      <w:r w:rsidRPr="001F4B63">
        <w:t xml:space="preserve"> and a conceptual risk framework for the UK Fire and Rescue Service, to help bring national and local consistency to community risk management planning.  </w:t>
      </w:r>
    </w:p>
    <w:p w14:paraId="67ED0B6D" w14:textId="026B451E" w:rsidR="00920F5E" w:rsidRPr="001F4B63" w:rsidRDefault="00920F5E" w:rsidP="00920F5E">
      <w:r w:rsidRPr="001F4B63">
        <w:t>It is important to note that the whole CRMP</w:t>
      </w:r>
      <w:r w:rsidR="009A198B">
        <w:t xml:space="preserve"> process</w:t>
      </w:r>
      <w:r w:rsidRPr="001F4B63">
        <w:t xml:space="preserve"> is underpinned by three key themes that should support, influence, and inform each individual component throughout the whole process:  </w:t>
      </w:r>
    </w:p>
    <w:p w14:paraId="0BDC460B" w14:textId="77777777" w:rsidR="00920F5E" w:rsidRPr="00F337BA" w:rsidRDefault="00920F5E" w:rsidP="00920F5E">
      <w:pPr>
        <w:pStyle w:val="ListParagraph"/>
        <w:numPr>
          <w:ilvl w:val="0"/>
          <w:numId w:val="15"/>
        </w:numPr>
        <w:rPr>
          <w:b/>
          <w:bCs/>
          <w:sz w:val="22"/>
          <w:szCs w:val="22"/>
          <w:highlight w:val="yellow"/>
        </w:rPr>
      </w:pPr>
      <w:r w:rsidRPr="00F337BA">
        <w:rPr>
          <w:b/>
          <w:bCs/>
          <w:sz w:val="22"/>
          <w:szCs w:val="22"/>
          <w:highlight w:val="yellow"/>
        </w:rPr>
        <w:t xml:space="preserve">Data and Business Intelligence.  </w:t>
      </w:r>
    </w:p>
    <w:p w14:paraId="1C77C7A0" w14:textId="77777777" w:rsidR="00920F5E" w:rsidRPr="00F337BA" w:rsidRDefault="00920F5E" w:rsidP="00920F5E">
      <w:pPr>
        <w:pStyle w:val="ListParagraph"/>
        <w:numPr>
          <w:ilvl w:val="0"/>
          <w:numId w:val="15"/>
        </w:numPr>
        <w:rPr>
          <w:b/>
          <w:bCs/>
          <w:sz w:val="22"/>
          <w:szCs w:val="22"/>
          <w:highlight w:val="yellow"/>
        </w:rPr>
      </w:pPr>
      <w:r w:rsidRPr="00F337BA">
        <w:rPr>
          <w:b/>
          <w:bCs/>
          <w:sz w:val="22"/>
          <w:szCs w:val="22"/>
          <w:highlight w:val="yellow"/>
        </w:rPr>
        <w:t>Equality / People Impact Assessment (</w:t>
      </w:r>
      <w:proofErr w:type="spellStart"/>
      <w:r w:rsidRPr="00F337BA">
        <w:rPr>
          <w:b/>
          <w:bCs/>
          <w:sz w:val="22"/>
          <w:szCs w:val="22"/>
          <w:highlight w:val="yellow"/>
        </w:rPr>
        <w:t>EqIA</w:t>
      </w:r>
      <w:proofErr w:type="spellEnd"/>
      <w:r w:rsidRPr="00F337BA">
        <w:rPr>
          <w:b/>
          <w:bCs/>
          <w:sz w:val="22"/>
          <w:szCs w:val="22"/>
          <w:highlight w:val="yellow"/>
        </w:rPr>
        <w:t xml:space="preserve">).  </w:t>
      </w:r>
    </w:p>
    <w:p w14:paraId="3A31FE5F" w14:textId="77777777" w:rsidR="00920F5E" w:rsidRPr="00F337BA" w:rsidRDefault="00920F5E" w:rsidP="00920F5E">
      <w:pPr>
        <w:pStyle w:val="ListParagraph"/>
        <w:numPr>
          <w:ilvl w:val="0"/>
          <w:numId w:val="15"/>
        </w:numPr>
        <w:rPr>
          <w:b/>
          <w:bCs/>
          <w:sz w:val="22"/>
          <w:szCs w:val="22"/>
          <w:highlight w:val="yellow"/>
        </w:rPr>
      </w:pPr>
      <w:bookmarkStart w:id="4" w:name="_Hlk125625864"/>
      <w:r w:rsidRPr="00F337BA">
        <w:rPr>
          <w:b/>
          <w:bCs/>
          <w:sz w:val="22"/>
          <w:szCs w:val="22"/>
          <w:highlight w:val="yellow"/>
        </w:rPr>
        <w:t>Stakeholder and Public Engagement</w:t>
      </w:r>
      <w:bookmarkEnd w:id="4"/>
      <w:r w:rsidRPr="00F337BA">
        <w:rPr>
          <w:b/>
          <w:bCs/>
          <w:sz w:val="22"/>
          <w:szCs w:val="22"/>
          <w:highlight w:val="yellow"/>
        </w:rPr>
        <w:t>. </w:t>
      </w:r>
    </w:p>
    <w:p w14:paraId="2AF853A9" w14:textId="77777777" w:rsidR="00920F5E" w:rsidRPr="001F4B63" w:rsidRDefault="00920F5E" w:rsidP="00920F5E">
      <w:pPr>
        <w:pStyle w:val="ListParagraph"/>
        <w:rPr>
          <w:sz w:val="22"/>
          <w:szCs w:val="22"/>
        </w:rPr>
      </w:pPr>
    </w:p>
    <w:p w14:paraId="13AE495F" w14:textId="77777777" w:rsidR="00920F5E" w:rsidRDefault="00920F5E" w:rsidP="00920F5E">
      <w:r w:rsidRPr="001F4B63">
        <w:t xml:space="preserve">These themes should be utilised to ensure each component within the process has been developed using a broad range of community and organisational intelligence, and links are made throughout this guidance. </w:t>
      </w:r>
    </w:p>
    <w:p w14:paraId="3832FA40" w14:textId="77777777" w:rsidR="009A5564" w:rsidRDefault="009A5564" w:rsidP="009A5564">
      <w:pPr>
        <w:spacing w:after="0" w:line="240" w:lineRule="auto"/>
      </w:pPr>
      <w:r>
        <w:t xml:space="preserve">Individuals within a Fire Service who work to develop a CRMP may differ between fire services and may differ from one cycle of CRM planning work to the next.  With these acknowledgements in mind, a series of </w:t>
      </w:r>
      <w:r w:rsidRPr="004005CB">
        <w:rPr>
          <w:b/>
          <w:bCs/>
          <w:highlight w:val="yellow"/>
        </w:rPr>
        <w:t>competency frameworks</w:t>
      </w:r>
      <w:r>
        <w:t xml:space="preserve"> have been developed which aim to clearly articulate the requisite competencies (behaviours, skills, knowledge, experience, and techniques) required to undertake CRM planning</w:t>
      </w:r>
      <w:r w:rsidRPr="00A51DB5">
        <w:rPr>
          <w:b/>
          <w:bCs/>
        </w:rPr>
        <w:t>.</w:t>
      </w:r>
      <w:r>
        <w:rPr>
          <w:b/>
          <w:bCs/>
        </w:rPr>
        <w:t xml:space="preserve"> </w:t>
      </w:r>
      <w:r w:rsidRPr="00095472">
        <w:t xml:space="preserve">Within the competency frameworks the </w:t>
      </w:r>
      <w:r>
        <w:t xml:space="preserve">requisites are outlined for strategic level staff members, as well as risk analysis and implementation level staff members. </w:t>
      </w:r>
    </w:p>
    <w:p w14:paraId="47D68505" w14:textId="77777777" w:rsidR="00720F0E" w:rsidRPr="00C831E3" w:rsidRDefault="00720F0E" w:rsidP="001050DD">
      <w:pPr>
        <w:tabs>
          <w:tab w:val="left" w:pos="1117"/>
        </w:tabs>
        <w:spacing w:after="0" w:line="240" w:lineRule="auto"/>
      </w:pPr>
    </w:p>
    <w:p w14:paraId="52B619BF" w14:textId="518D8F60" w:rsidR="00080D42" w:rsidRDefault="004B46B4" w:rsidP="001050DD">
      <w:pPr>
        <w:spacing w:after="0" w:line="240" w:lineRule="auto"/>
        <w:rPr>
          <w:b/>
          <w:bCs/>
          <w:color w:val="FF0000"/>
          <w:sz w:val="44"/>
          <w:szCs w:val="44"/>
        </w:rPr>
      </w:pPr>
      <w:r>
        <w:rPr>
          <w:b/>
          <w:bCs/>
          <w:color w:val="FF0000"/>
          <w:sz w:val="44"/>
          <w:szCs w:val="44"/>
        </w:rPr>
        <w:t>Overview</w:t>
      </w:r>
    </w:p>
    <w:p w14:paraId="1F0290A8" w14:textId="1730AC0F" w:rsidR="0052354C" w:rsidRDefault="0052354C" w:rsidP="001050DD">
      <w:pPr>
        <w:spacing w:after="0" w:line="240" w:lineRule="auto"/>
        <w:rPr>
          <w:b/>
          <w:bCs/>
          <w:lang w:eastAsia="en-GB"/>
        </w:rPr>
      </w:pPr>
    </w:p>
    <w:p w14:paraId="21893714" w14:textId="196BCD64" w:rsidR="0052354C" w:rsidRDefault="0052354C" w:rsidP="001050DD">
      <w:pPr>
        <w:spacing w:after="0" w:line="240" w:lineRule="auto"/>
      </w:pPr>
      <w:r w:rsidRPr="00303227">
        <w:t xml:space="preserve">The purpose of </w:t>
      </w:r>
      <w:r w:rsidRPr="001F6F02">
        <w:t>hazard identification</w:t>
      </w:r>
      <w:r w:rsidRPr="00303227">
        <w:t xml:space="preserve"> is to find and describe </w:t>
      </w:r>
      <w:r w:rsidRPr="00C05C20">
        <w:t>hazardous events</w:t>
      </w:r>
      <w:r w:rsidRPr="00303227">
        <w:t xml:space="preserve"> that might prevent</w:t>
      </w:r>
      <w:r>
        <w:t>, or help,</w:t>
      </w:r>
      <w:r w:rsidRPr="00303227">
        <w:t xml:space="preserve"> </w:t>
      </w:r>
      <w:r>
        <w:t>a</w:t>
      </w:r>
      <w:r w:rsidR="00763F2D">
        <w:t xml:space="preserve"> Fire</w:t>
      </w:r>
      <w:r>
        <w:t xml:space="preserve"> Service to</w:t>
      </w:r>
      <w:r w:rsidRPr="00303227">
        <w:t xml:space="preserve"> achieve </w:t>
      </w:r>
      <w:r>
        <w:t xml:space="preserve">its community </w:t>
      </w:r>
      <w:r w:rsidRPr="00C05C20">
        <w:t>risk management</w:t>
      </w:r>
      <w:r>
        <w:t xml:space="preserve"> </w:t>
      </w:r>
      <w:r w:rsidRPr="00C05C20">
        <w:t>objective</w:t>
      </w:r>
      <w:r w:rsidRPr="00303227">
        <w:t>s</w:t>
      </w:r>
      <w:r>
        <w:t xml:space="preserve">, and to which </w:t>
      </w:r>
      <w:r w:rsidR="0091072F">
        <w:t>it</w:t>
      </w:r>
      <w:r>
        <w:t xml:space="preserve"> will deploy </w:t>
      </w:r>
      <w:r w:rsidR="0091072F">
        <w:t>its</w:t>
      </w:r>
      <w:r>
        <w:t xml:space="preserve"> resources.  </w:t>
      </w:r>
    </w:p>
    <w:p w14:paraId="1306B90B" w14:textId="77777777" w:rsidR="008B725E" w:rsidRPr="00303227" w:rsidRDefault="008B725E" w:rsidP="001050DD">
      <w:pPr>
        <w:spacing w:after="0" w:line="240" w:lineRule="auto"/>
      </w:pPr>
    </w:p>
    <w:p w14:paraId="106D06F9" w14:textId="77777777" w:rsidR="008B725E" w:rsidRDefault="008B725E" w:rsidP="001050DD">
      <w:pPr>
        <w:spacing w:after="0" w:line="240" w:lineRule="auto"/>
      </w:pPr>
      <w:r>
        <w:t xml:space="preserve">This involves selection of: </w:t>
      </w:r>
    </w:p>
    <w:p w14:paraId="0027F575" w14:textId="77777777" w:rsidR="008B725E" w:rsidRDefault="008B725E" w:rsidP="001050DD">
      <w:pPr>
        <w:spacing w:after="0" w:line="240" w:lineRule="auto"/>
      </w:pPr>
    </w:p>
    <w:p w14:paraId="12A2582F" w14:textId="77777777" w:rsidR="008B725E" w:rsidRPr="008B725E" w:rsidRDefault="008B725E" w:rsidP="008B725E">
      <w:pPr>
        <w:pStyle w:val="ListParagraph"/>
        <w:numPr>
          <w:ilvl w:val="0"/>
          <w:numId w:val="18"/>
        </w:numPr>
        <w:rPr>
          <w:sz w:val="22"/>
          <w:szCs w:val="22"/>
        </w:rPr>
      </w:pPr>
      <w:r w:rsidRPr="008B725E">
        <w:rPr>
          <w:sz w:val="22"/>
          <w:szCs w:val="22"/>
        </w:rPr>
        <w:t xml:space="preserve">Hazards – potential sources of harm </w:t>
      </w:r>
    </w:p>
    <w:p w14:paraId="3C21ED14" w14:textId="77777777" w:rsidR="008B725E" w:rsidRPr="008B725E" w:rsidRDefault="008B725E" w:rsidP="008B725E">
      <w:pPr>
        <w:pStyle w:val="ListParagraph"/>
        <w:numPr>
          <w:ilvl w:val="0"/>
          <w:numId w:val="18"/>
        </w:numPr>
        <w:rPr>
          <w:sz w:val="22"/>
          <w:szCs w:val="22"/>
        </w:rPr>
      </w:pPr>
      <w:r w:rsidRPr="008B725E">
        <w:rPr>
          <w:sz w:val="22"/>
          <w:szCs w:val="22"/>
        </w:rPr>
        <w:t xml:space="preserve">Hazardous events – potential events that can cause harm </w:t>
      </w:r>
    </w:p>
    <w:p w14:paraId="6497A8D0" w14:textId="04834CB2" w:rsidR="001050DD" w:rsidRPr="008B725E" w:rsidRDefault="008B725E" w:rsidP="008B725E">
      <w:pPr>
        <w:pStyle w:val="ListParagraph"/>
        <w:numPr>
          <w:ilvl w:val="0"/>
          <w:numId w:val="18"/>
        </w:numPr>
        <w:rPr>
          <w:sz w:val="22"/>
          <w:szCs w:val="22"/>
        </w:rPr>
      </w:pPr>
      <w:r w:rsidRPr="008B725E">
        <w:rPr>
          <w:sz w:val="22"/>
          <w:szCs w:val="22"/>
        </w:rPr>
        <w:t>Risk groups – people or assets that could be harmed</w:t>
      </w:r>
    </w:p>
    <w:p w14:paraId="0BD1BAC8" w14:textId="77777777" w:rsidR="001050DD" w:rsidRDefault="001050DD" w:rsidP="001050DD">
      <w:pPr>
        <w:tabs>
          <w:tab w:val="left" w:pos="1117"/>
        </w:tabs>
        <w:spacing w:after="0" w:line="240" w:lineRule="auto"/>
      </w:pPr>
    </w:p>
    <w:p w14:paraId="6FAF0E72" w14:textId="53480320" w:rsidR="00720F0E" w:rsidRDefault="00080D42" w:rsidP="00D1272F">
      <w:pPr>
        <w:spacing w:after="0" w:line="240" w:lineRule="auto"/>
        <w:rPr>
          <w:b/>
          <w:bCs/>
          <w:color w:val="FF0000"/>
          <w:sz w:val="44"/>
          <w:szCs w:val="44"/>
        </w:rPr>
      </w:pPr>
      <w:r w:rsidRPr="00080D42">
        <w:rPr>
          <w:b/>
          <w:bCs/>
          <w:color w:val="FF0000"/>
          <w:sz w:val="44"/>
          <w:szCs w:val="44"/>
        </w:rPr>
        <w:lastRenderedPageBreak/>
        <w:t>Hazard</w:t>
      </w:r>
    </w:p>
    <w:p w14:paraId="5AF7A531" w14:textId="77777777" w:rsidR="00D1272F" w:rsidRDefault="00D1272F" w:rsidP="00D1272F">
      <w:pPr>
        <w:spacing w:after="0" w:line="240" w:lineRule="auto"/>
        <w:rPr>
          <w:b/>
          <w:bCs/>
          <w:color w:val="FF0000"/>
          <w:sz w:val="44"/>
          <w:szCs w:val="44"/>
        </w:rPr>
      </w:pPr>
    </w:p>
    <w:p w14:paraId="361E3AA0" w14:textId="63272479" w:rsidR="00642CC5" w:rsidRDefault="0077246C" w:rsidP="001050DD">
      <w:pPr>
        <w:tabs>
          <w:tab w:val="left" w:pos="1117"/>
        </w:tabs>
        <w:spacing w:after="0" w:line="240" w:lineRule="auto"/>
      </w:pPr>
      <w:r w:rsidRPr="0077246C">
        <w:rPr>
          <w:i/>
          <w:iCs/>
        </w:rPr>
        <w:t xml:space="preserve">What are the potential </w:t>
      </w:r>
      <w:r w:rsidRPr="0077246C">
        <w:rPr>
          <w:b/>
          <w:bCs/>
          <w:i/>
          <w:iCs/>
        </w:rPr>
        <w:t>sources of harm</w:t>
      </w:r>
      <w:r w:rsidRPr="0077246C">
        <w:rPr>
          <w:i/>
          <w:iCs/>
        </w:rPr>
        <w:t xml:space="preserve"> that could impact risk groups? </w:t>
      </w:r>
      <w:r>
        <w:t xml:space="preserve"> </w:t>
      </w:r>
    </w:p>
    <w:p w14:paraId="34C0DCE2" w14:textId="77777777" w:rsidR="001050DD" w:rsidRDefault="001050DD" w:rsidP="001050DD">
      <w:pPr>
        <w:tabs>
          <w:tab w:val="left" w:pos="1117"/>
        </w:tabs>
        <w:spacing w:after="0" w:line="240" w:lineRule="auto"/>
      </w:pPr>
    </w:p>
    <w:p w14:paraId="6131E3A1" w14:textId="5836D3C3" w:rsidR="00102137" w:rsidRDefault="007B4B33" w:rsidP="001050DD">
      <w:pPr>
        <w:tabs>
          <w:tab w:val="left" w:pos="1117"/>
        </w:tabs>
        <w:spacing w:after="0" w:line="240" w:lineRule="auto"/>
      </w:pPr>
      <w:r>
        <w:t xml:space="preserve">The </w:t>
      </w:r>
      <w:proofErr w:type="spellStart"/>
      <w:r>
        <w:t>DoR</w:t>
      </w:r>
      <w:proofErr w:type="spellEnd"/>
      <w:r>
        <w:t xml:space="preserve"> project tells us that a</w:t>
      </w:r>
      <w:r w:rsidR="006E0D76">
        <w:t xml:space="preserve"> hazard is defined as “a potential source of harm”. This is distinct from “risk”, which includes the likelihood of the harm occurring and also its severity. This is a well-known distinction in the safety field, although the term “hazard” is uncommon in other risk fields. The distinction has the advantage that hazards can be described in purely practical terms, without raising the theoretical question of how likely they are to occur.</w:t>
      </w:r>
    </w:p>
    <w:p w14:paraId="761318EF" w14:textId="77777777" w:rsidR="00102137" w:rsidRDefault="00102137" w:rsidP="001050DD">
      <w:pPr>
        <w:tabs>
          <w:tab w:val="left" w:pos="1117"/>
        </w:tabs>
        <w:spacing w:after="0" w:line="240" w:lineRule="auto"/>
      </w:pPr>
    </w:p>
    <w:p w14:paraId="5F46C68C" w14:textId="3FC9B25D" w:rsidR="006C45FF" w:rsidRDefault="00642CC5" w:rsidP="006C45FF">
      <w:pPr>
        <w:tabs>
          <w:tab w:val="left" w:pos="1117"/>
        </w:tabs>
        <w:spacing w:after="0" w:line="240" w:lineRule="auto"/>
        <w:rPr>
          <w:b/>
          <w:bCs/>
        </w:rPr>
      </w:pPr>
      <w:r w:rsidRPr="00593B0C">
        <w:t>Hazard identification</w:t>
      </w:r>
      <w:r w:rsidRPr="00303227">
        <w:t xml:space="preserve"> can involve historical data, theoretical analysis, informed and expert opinions, and forward-looking judgements. </w:t>
      </w:r>
      <w:r>
        <w:t xml:space="preserve">You should </w:t>
      </w:r>
      <w:r w:rsidRPr="00600FFF">
        <w:t>identify emerging or foreseeable</w:t>
      </w:r>
      <w:r>
        <w:t xml:space="preserve"> </w:t>
      </w:r>
      <w:r w:rsidRPr="003010A1">
        <w:t>hazard</w:t>
      </w:r>
      <w:r>
        <w:t>s. Internally, you should involve colleagues. Externally</w:t>
      </w:r>
      <w:r w:rsidRPr="00E7489A">
        <w:t xml:space="preserve">, use external sources such as </w:t>
      </w:r>
      <w:r>
        <w:t>the Community and National Risk Registers</w:t>
      </w:r>
      <w:r w:rsidRPr="00E7489A">
        <w:t xml:space="preserve">, subject matter experts, </w:t>
      </w:r>
      <w:r>
        <w:t xml:space="preserve">and </w:t>
      </w:r>
      <w:r w:rsidRPr="00E7489A">
        <w:t>academia</w:t>
      </w:r>
      <w:r>
        <w:t>.</w:t>
      </w:r>
      <w:r w:rsidR="006C45FF">
        <w:t xml:space="preserve"> See the </w:t>
      </w:r>
      <w:r w:rsidR="006C45FF" w:rsidRPr="00A51A0D">
        <w:rPr>
          <w:b/>
          <w:bCs/>
          <w:highlight w:val="yellow"/>
        </w:rPr>
        <w:t>Community Risk</w:t>
      </w:r>
      <w:r w:rsidR="006C45FF">
        <w:rPr>
          <w:b/>
          <w:bCs/>
          <w:highlight w:val="yellow"/>
        </w:rPr>
        <w:t xml:space="preserve"> –</w:t>
      </w:r>
      <w:r w:rsidR="006C45FF" w:rsidRPr="00A51A0D">
        <w:rPr>
          <w:b/>
          <w:bCs/>
          <w:highlight w:val="yellow"/>
        </w:rPr>
        <w:t xml:space="preserve"> </w:t>
      </w:r>
      <w:r w:rsidR="006C45FF">
        <w:rPr>
          <w:b/>
          <w:bCs/>
          <w:highlight w:val="yellow"/>
        </w:rPr>
        <w:t>Data and Intelligence</w:t>
      </w:r>
      <w:r w:rsidR="006C45FF" w:rsidRPr="00600FFF">
        <w:rPr>
          <w:b/>
          <w:bCs/>
          <w:highlight w:val="yellow"/>
        </w:rPr>
        <w:t xml:space="preserve"> Guidance</w:t>
      </w:r>
    </w:p>
    <w:p w14:paraId="75C4B7AE" w14:textId="393BDCA0" w:rsidR="00642CC5" w:rsidRDefault="00642CC5" w:rsidP="001050DD">
      <w:pPr>
        <w:spacing w:after="0" w:line="240" w:lineRule="auto"/>
      </w:pPr>
    </w:p>
    <w:p w14:paraId="2EC5CC92" w14:textId="4C0900A0" w:rsidR="00642CC5" w:rsidRDefault="00642CC5" w:rsidP="001050DD">
      <w:pPr>
        <w:tabs>
          <w:tab w:val="left" w:pos="1117"/>
        </w:tabs>
        <w:spacing w:after="0" w:line="240" w:lineRule="auto"/>
        <w:rPr>
          <w:b/>
          <w:bCs/>
        </w:rPr>
      </w:pPr>
      <w:r>
        <w:t xml:space="preserve">Your </w:t>
      </w:r>
      <w:r w:rsidRPr="00D212F6">
        <w:t>hazard identification</w:t>
      </w:r>
      <w:r w:rsidRPr="00E7489A">
        <w:t xml:space="preserve"> should involve, and therefore reflect, stakeholders and their need</w:t>
      </w:r>
      <w:r w:rsidR="00795A7D">
        <w:t>s. In</w:t>
      </w:r>
      <w:r w:rsidR="00795A7D" w:rsidRPr="00E7489A">
        <w:t>volving</w:t>
      </w:r>
      <w:r w:rsidRPr="00E7489A">
        <w:t xml:space="preserve"> a wide range of stakeholders gives a greater chance of being able to define </w:t>
      </w:r>
      <w:r w:rsidR="009C3632">
        <w:t xml:space="preserve">the Fire Service’s </w:t>
      </w:r>
      <w:r w:rsidRPr="00D700B4">
        <w:t>risks</w:t>
      </w:r>
      <w:r w:rsidRPr="00E7489A">
        <w:t xml:space="preserve"> well</w:t>
      </w:r>
      <w:r>
        <w:t xml:space="preserve">. </w:t>
      </w:r>
      <w:r w:rsidRPr="00145CC1">
        <w:t xml:space="preserve">Involving others in </w:t>
      </w:r>
      <w:r w:rsidRPr="00D700B4">
        <w:t>hazard identification</w:t>
      </w:r>
      <w:r w:rsidRPr="00145CC1">
        <w:t xml:space="preserve"> also helps to understand the need for </w:t>
      </w:r>
      <w:r w:rsidR="009C3632" w:rsidRPr="00145CC1">
        <w:t>controls</w:t>
      </w:r>
      <w:r w:rsidRPr="00145CC1">
        <w:t xml:space="preserve"> or the deployment of resources in a certain manner</w:t>
      </w:r>
      <w:r w:rsidR="009C3632">
        <w:t xml:space="preserve"> (</w:t>
      </w:r>
      <w:r w:rsidR="009C3632" w:rsidRPr="009C3632">
        <w:rPr>
          <w:b/>
          <w:bCs/>
          <w:highlight w:val="yellow"/>
        </w:rPr>
        <w:t>Decision Making</w:t>
      </w:r>
      <w:r w:rsidR="009C3632">
        <w:t xml:space="preserve"> component of the </w:t>
      </w:r>
      <w:r w:rsidR="00600FFF">
        <w:t xml:space="preserve">CRMP </w:t>
      </w:r>
      <w:r w:rsidR="009C3632">
        <w:t>process)</w:t>
      </w:r>
      <w:r w:rsidRPr="00145CC1">
        <w:t xml:space="preserve">. It helps to build confidence in the decisions that </w:t>
      </w:r>
      <w:r>
        <w:t>you make</w:t>
      </w:r>
      <w:r w:rsidRPr="00145CC1">
        <w:t>.</w:t>
      </w:r>
      <w:r>
        <w:t xml:space="preserve"> </w:t>
      </w:r>
      <w:r w:rsidR="006C45FF">
        <w:t>S</w:t>
      </w:r>
      <w:r w:rsidR="00600FFF">
        <w:t>ee the</w:t>
      </w:r>
      <w:r>
        <w:t xml:space="preserve"> </w:t>
      </w:r>
      <w:r w:rsidRPr="00A51A0D">
        <w:rPr>
          <w:b/>
          <w:bCs/>
          <w:highlight w:val="yellow"/>
        </w:rPr>
        <w:t>Community Risk – Stakeholder and Public Engagem</w:t>
      </w:r>
      <w:r w:rsidRPr="00600FFF">
        <w:rPr>
          <w:b/>
          <w:bCs/>
          <w:highlight w:val="yellow"/>
        </w:rPr>
        <w:t xml:space="preserve">ent </w:t>
      </w:r>
      <w:r w:rsidR="00600FFF" w:rsidRPr="00600FFF">
        <w:rPr>
          <w:b/>
          <w:bCs/>
          <w:highlight w:val="yellow"/>
        </w:rPr>
        <w:t>G</w:t>
      </w:r>
      <w:r w:rsidRPr="00600FFF">
        <w:rPr>
          <w:b/>
          <w:bCs/>
          <w:highlight w:val="yellow"/>
        </w:rPr>
        <w:t>uidance</w:t>
      </w:r>
    </w:p>
    <w:p w14:paraId="357A7C8E" w14:textId="77777777" w:rsidR="001050DD" w:rsidRDefault="001050DD" w:rsidP="001050DD">
      <w:pPr>
        <w:tabs>
          <w:tab w:val="left" w:pos="1117"/>
        </w:tabs>
        <w:spacing w:after="0" w:line="240" w:lineRule="auto"/>
      </w:pPr>
    </w:p>
    <w:p w14:paraId="1529ECFF" w14:textId="0D4A2E4B" w:rsidR="00C86CED" w:rsidRDefault="00642CC5" w:rsidP="00C86CED">
      <w:pPr>
        <w:spacing w:after="0" w:line="240" w:lineRule="auto"/>
      </w:pPr>
      <w:r>
        <w:t xml:space="preserve">It will be helpful to categorise the </w:t>
      </w:r>
      <w:r w:rsidRPr="00B67D77">
        <w:t>hazard identification</w:t>
      </w:r>
      <w:r>
        <w:t xml:space="preserve"> by groups (perhaps by theme, activity, source, and so on) to help the task of identifying </w:t>
      </w:r>
      <w:r w:rsidRPr="00B67D77">
        <w:t>hazardous events</w:t>
      </w:r>
      <w:r>
        <w:t xml:space="preserve">. You could use the themes shown in the visual or use the themes you used when describing Scope. </w:t>
      </w:r>
      <w:r w:rsidR="00C86CED">
        <w:t xml:space="preserve">One of the outputs of the </w:t>
      </w:r>
      <w:proofErr w:type="spellStart"/>
      <w:r w:rsidR="00C86CED">
        <w:t>DoR</w:t>
      </w:r>
      <w:proofErr w:type="spellEnd"/>
      <w:r w:rsidR="00C86CED">
        <w:t xml:space="preserve"> Project was a Hazard Identification model developed by Cleveland Fire and Rescue that </w:t>
      </w:r>
      <w:r w:rsidR="002557C9">
        <w:t xml:space="preserve">grouped potential </w:t>
      </w:r>
      <w:r w:rsidR="00C86CED" w:rsidRPr="00A37C20">
        <w:t xml:space="preserve">sources of harm </w:t>
      </w:r>
      <w:r w:rsidR="00874C9A">
        <w:t xml:space="preserve">to five main groups – see </w:t>
      </w:r>
      <w:r w:rsidR="000E7E91">
        <w:t>figure</w:t>
      </w:r>
      <w:r w:rsidR="00874C9A">
        <w:t xml:space="preserve"> 1. </w:t>
      </w:r>
      <w:commentRangeStart w:id="5"/>
      <w:r w:rsidR="00874C9A">
        <w:t xml:space="preserve">Here, </w:t>
      </w:r>
      <w:r w:rsidR="00B50B3B">
        <w:t>emerging / foreseeable risks are included that may impact on Community Risk.</w:t>
      </w:r>
      <w:commentRangeEnd w:id="5"/>
      <w:r w:rsidR="00B07D10">
        <w:rPr>
          <w:rStyle w:val="CommentReference"/>
        </w:rPr>
        <w:commentReference w:id="5"/>
      </w:r>
    </w:p>
    <w:p w14:paraId="775CB20A" w14:textId="77777777" w:rsidR="001050DD" w:rsidRPr="00DE589D" w:rsidRDefault="001050DD" w:rsidP="001050DD">
      <w:pPr>
        <w:tabs>
          <w:tab w:val="left" w:pos="1117"/>
        </w:tabs>
        <w:spacing w:after="0" w:line="240" w:lineRule="auto"/>
      </w:pPr>
    </w:p>
    <w:tbl>
      <w:tblPr>
        <w:tblStyle w:val="TableGrid"/>
        <w:tblW w:w="9067" w:type="dxa"/>
        <w:shd w:val="clear" w:color="auto" w:fill="D9E2F3" w:themeFill="accent1" w:themeFillTint="33"/>
        <w:tblLook w:val="04A0" w:firstRow="1" w:lastRow="0" w:firstColumn="1" w:lastColumn="0" w:noHBand="0" w:noVBand="1"/>
      </w:tblPr>
      <w:tblGrid>
        <w:gridCol w:w="2972"/>
        <w:gridCol w:w="6095"/>
      </w:tblGrid>
      <w:tr w:rsidR="00A65DBA" w14:paraId="1EFDDEBD" w14:textId="77777777" w:rsidTr="00624481">
        <w:tc>
          <w:tcPr>
            <w:tcW w:w="2972" w:type="dxa"/>
            <w:shd w:val="clear" w:color="auto" w:fill="D9E2F3" w:themeFill="accent1" w:themeFillTint="33"/>
          </w:tcPr>
          <w:p w14:paraId="3FEF4216" w14:textId="77777777" w:rsidR="00A65DBA" w:rsidRPr="00DE589D" w:rsidRDefault="00A65DBA" w:rsidP="001050DD">
            <w:pPr>
              <w:tabs>
                <w:tab w:val="left" w:pos="1117"/>
              </w:tabs>
              <w:rPr>
                <w:b/>
                <w:bCs/>
              </w:rPr>
            </w:pPr>
            <w:r w:rsidRPr="00DE589D">
              <w:rPr>
                <w:b/>
                <w:bCs/>
              </w:rPr>
              <w:t>Identify Hazards (Community)</w:t>
            </w:r>
          </w:p>
        </w:tc>
        <w:tc>
          <w:tcPr>
            <w:tcW w:w="6095" w:type="dxa"/>
            <w:shd w:val="clear" w:color="auto" w:fill="D9E2F3" w:themeFill="accent1" w:themeFillTint="33"/>
          </w:tcPr>
          <w:p w14:paraId="58C71E08" w14:textId="5C8FC376" w:rsidR="00A65DBA" w:rsidRPr="00DE589D" w:rsidRDefault="00DE589D" w:rsidP="001050DD">
            <w:pPr>
              <w:tabs>
                <w:tab w:val="left" w:pos="1117"/>
              </w:tabs>
              <w:rPr>
                <w:b/>
                <w:bCs/>
                <w:i/>
                <w:iCs/>
              </w:rPr>
            </w:pPr>
            <w:r w:rsidRPr="00DE589D">
              <w:rPr>
                <w:b/>
                <w:bCs/>
                <w:i/>
                <w:iCs/>
              </w:rPr>
              <w:t xml:space="preserve">Examples </w:t>
            </w:r>
          </w:p>
        </w:tc>
      </w:tr>
      <w:tr w:rsidR="00A65DBA" w14:paraId="5CD9307D" w14:textId="77777777" w:rsidTr="00624481">
        <w:tc>
          <w:tcPr>
            <w:tcW w:w="2972" w:type="dxa"/>
            <w:shd w:val="clear" w:color="auto" w:fill="D9E2F3" w:themeFill="accent1" w:themeFillTint="33"/>
          </w:tcPr>
          <w:p w14:paraId="0C56BDE6" w14:textId="1CC0D371" w:rsidR="00A65DBA" w:rsidRDefault="00A65DBA" w:rsidP="001050DD">
            <w:pPr>
              <w:tabs>
                <w:tab w:val="left" w:pos="1117"/>
              </w:tabs>
              <w:rPr>
                <w:i/>
                <w:iCs/>
              </w:rPr>
            </w:pPr>
            <w:r w:rsidRPr="00E75689">
              <w:t>Structure</w:t>
            </w:r>
            <w:r>
              <w:t>s</w:t>
            </w:r>
          </w:p>
        </w:tc>
        <w:tc>
          <w:tcPr>
            <w:tcW w:w="6095" w:type="dxa"/>
            <w:shd w:val="clear" w:color="auto" w:fill="D9E2F3" w:themeFill="accent1" w:themeFillTint="33"/>
          </w:tcPr>
          <w:p w14:paraId="2EC6DCFB" w14:textId="77777777" w:rsidR="00A65DBA" w:rsidRDefault="00A65DBA" w:rsidP="001050DD">
            <w:r w:rsidRPr="002A65DE">
              <w:t>Domestic Residential Building</w:t>
            </w:r>
          </w:p>
          <w:p w14:paraId="2036AFB7" w14:textId="77777777" w:rsidR="00A65DBA" w:rsidRDefault="00A65DBA" w:rsidP="001050DD">
            <w:r w:rsidRPr="002A65DE">
              <w:t>Other Buildings</w:t>
            </w:r>
          </w:p>
          <w:p w14:paraId="7EB07624" w14:textId="77777777" w:rsidR="00A65DBA" w:rsidRDefault="00A65DBA" w:rsidP="001050DD">
            <w:r w:rsidRPr="002A65DE">
              <w:t>Utility Sites</w:t>
            </w:r>
          </w:p>
          <w:p w14:paraId="0726B2B2" w14:textId="77777777" w:rsidR="00A65DBA" w:rsidRDefault="00A65DBA" w:rsidP="001050DD">
            <w:r w:rsidRPr="002A65DE">
              <w:t>Underground Tunnels</w:t>
            </w:r>
          </w:p>
          <w:p w14:paraId="76BFCDBC" w14:textId="350BE9F9" w:rsidR="00A65DBA" w:rsidRPr="00DE589D" w:rsidRDefault="00A65DBA" w:rsidP="001050DD">
            <w:r w:rsidRPr="002A65DE">
              <w:t>Licenses waste sites</w:t>
            </w:r>
          </w:p>
        </w:tc>
      </w:tr>
      <w:tr w:rsidR="00A65DBA" w14:paraId="536FDECA" w14:textId="77777777" w:rsidTr="00624481">
        <w:tc>
          <w:tcPr>
            <w:tcW w:w="2972" w:type="dxa"/>
            <w:shd w:val="clear" w:color="auto" w:fill="D9E2F3" w:themeFill="accent1" w:themeFillTint="33"/>
          </w:tcPr>
          <w:p w14:paraId="13260E78" w14:textId="7657B654" w:rsidR="00A65DBA" w:rsidRDefault="00A65DBA" w:rsidP="001050DD">
            <w:pPr>
              <w:tabs>
                <w:tab w:val="left" w:pos="1117"/>
              </w:tabs>
              <w:rPr>
                <w:i/>
                <w:iCs/>
              </w:rPr>
            </w:pPr>
            <w:r w:rsidRPr="00E75689">
              <w:t>Transport</w:t>
            </w:r>
          </w:p>
        </w:tc>
        <w:tc>
          <w:tcPr>
            <w:tcW w:w="6095" w:type="dxa"/>
            <w:shd w:val="clear" w:color="auto" w:fill="D9E2F3" w:themeFill="accent1" w:themeFillTint="33"/>
          </w:tcPr>
          <w:p w14:paraId="4328831C" w14:textId="77777777" w:rsidR="00A65DBA" w:rsidRDefault="00A65DBA" w:rsidP="001050DD">
            <w:r w:rsidRPr="00A65DBA">
              <w:t>Road</w:t>
            </w:r>
          </w:p>
          <w:p w14:paraId="68E4A668" w14:textId="72513289" w:rsidR="00A65DBA" w:rsidRDefault="00A65DBA" w:rsidP="001050DD">
            <w:r w:rsidRPr="00A65DBA">
              <w:t>Rail</w:t>
            </w:r>
          </w:p>
          <w:p w14:paraId="505C66C5" w14:textId="77777777" w:rsidR="00DE589D" w:rsidRDefault="00A65DBA" w:rsidP="001050DD">
            <w:r w:rsidRPr="00A65DBA">
              <w:t>Ai</w:t>
            </w:r>
            <w:r>
              <w:t xml:space="preserve">r </w:t>
            </w:r>
          </w:p>
          <w:p w14:paraId="3605CA04" w14:textId="3BABC980" w:rsidR="00A65DBA" w:rsidRPr="00DE589D" w:rsidRDefault="00A65DBA" w:rsidP="001050DD">
            <w:r w:rsidRPr="00A65DBA">
              <w:t>Marine</w:t>
            </w:r>
          </w:p>
        </w:tc>
      </w:tr>
      <w:tr w:rsidR="00A65DBA" w14:paraId="18357133" w14:textId="77777777" w:rsidTr="00624481">
        <w:tc>
          <w:tcPr>
            <w:tcW w:w="2972" w:type="dxa"/>
            <w:shd w:val="clear" w:color="auto" w:fill="D9E2F3" w:themeFill="accent1" w:themeFillTint="33"/>
          </w:tcPr>
          <w:p w14:paraId="05C2D257" w14:textId="15D1F4F4" w:rsidR="00A65DBA" w:rsidRDefault="00A65DBA" w:rsidP="001050DD">
            <w:pPr>
              <w:tabs>
                <w:tab w:val="left" w:pos="1117"/>
              </w:tabs>
              <w:rPr>
                <w:i/>
                <w:iCs/>
              </w:rPr>
            </w:pPr>
            <w:r w:rsidRPr="00E75689">
              <w:t>Industrial</w:t>
            </w:r>
          </w:p>
        </w:tc>
        <w:tc>
          <w:tcPr>
            <w:tcW w:w="6095" w:type="dxa"/>
            <w:shd w:val="clear" w:color="auto" w:fill="D9E2F3" w:themeFill="accent1" w:themeFillTint="33"/>
          </w:tcPr>
          <w:p w14:paraId="0A9003AA" w14:textId="77777777" w:rsidR="00A65DBA" w:rsidRDefault="00A65DBA" w:rsidP="001050DD">
            <w:proofErr w:type="spellStart"/>
            <w:r w:rsidRPr="00A65DBA">
              <w:t>HazMats</w:t>
            </w:r>
            <w:proofErr w:type="spellEnd"/>
            <w:r w:rsidRPr="00A65DBA">
              <w:t xml:space="preserve"> Sites</w:t>
            </w:r>
          </w:p>
          <w:p w14:paraId="1E0BF6C0" w14:textId="4C7E2A78" w:rsidR="00A65DBA" w:rsidRPr="00DE589D" w:rsidRDefault="00A65DBA" w:rsidP="001050DD">
            <w:r w:rsidRPr="00A65DBA">
              <w:t>Hazardous Transport</w:t>
            </w:r>
          </w:p>
        </w:tc>
      </w:tr>
      <w:tr w:rsidR="00A65DBA" w14:paraId="7AFE279F" w14:textId="77777777" w:rsidTr="00624481">
        <w:tc>
          <w:tcPr>
            <w:tcW w:w="2972" w:type="dxa"/>
            <w:shd w:val="clear" w:color="auto" w:fill="D9E2F3" w:themeFill="accent1" w:themeFillTint="33"/>
          </w:tcPr>
          <w:p w14:paraId="55447ACE" w14:textId="4FDD5005" w:rsidR="00A65DBA" w:rsidRDefault="00A65DBA" w:rsidP="001050DD">
            <w:pPr>
              <w:rPr>
                <w:i/>
                <w:iCs/>
              </w:rPr>
            </w:pPr>
            <w:r w:rsidRPr="002A65DE">
              <w:t xml:space="preserve">Environmental </w:t>
            </w:r>
          </w:p>
        </w:tc>
        <w:tc>
          <w:tcPr>
            <w:tcW w:w="6095" w:type="dxa"/>
            <w:shd w:val="clear" w:color="auto" w:fill="D9E2F3" w:themeFill="accent1" w:themeFillTint="33"/>
          </w:tcPr>
          <w:p w14:paraId="70199877" w14:textId="20FB0EC9" w:rsidR="00A65DBA" w:rsidRDefault="00A65DBA" w:rsidP="001050DD">
            <w:r w:rsidRPr="002A65DE">
              <w:t xml:space="preserve">Wildfire </w:t>
            </w:r>
          </w:p>
          <w:p w14:paraId="3F282367" w14:textId="57AD642A" w:rsidR="00A65DBA" w:rsidRPr="002A65DE" w:rsidRDefault="00A65DBA" w:rsidP="001050DD">
            <w:r w:rsidRPr="002A65DE">
              <w:t>Waterways</w:t>
            </w:r>
          </w:p>
        </w:tc>
      </w:tr>
      <w:tr w:rsidR="00A65DBA" w14:paraId="53F0DCBE" w14:textId="77777777" w:rsidTr="00624481">
        <w:tc>
          <w:tcPr>
            <w:tcW w:w="2972" w:type="dxa"/>
            <w:shd w:val="clear" w:color="auto" w:fill="D9E2F3" w:themeFill="accent1" w:themeFillTint="33"/>
          </w:tcPr>
          <w:p w14:paraId="74995EBF" w14:textId="6FE5883E" w:rsidR="00A65DBA" w:rsidRPr="002A65DE" w:rsidRDefault="00A65DBA" w:rsidP="001050DD">
            <w:r>
              <w:t xml:space="preserve">Malicious Attacks/Terrorism </w:t>
            </w:r>
          </w:p>
        </w:tc>
        <w:tc>
          <w:tcPr>
            <w:tcW w:w="6095" w:type="dxa"/>
            <w:shd w:val="clear" w:color="auto" w:fill="D9E2F3" w:themeFill="accent1" w:themeFillTint="33"/>
          </w:tcPr>
          <w:p w14:paraId="3AD4CA16" w14:textId="1BB304D0" w:rsidR="00A65DBA" w:rsidRPr="002A65DE" w:rsidRDefault="00B22369" w:rsidP="001050DD">
            <w:r>
              <w:t>Marauding Terrorist attac</w:t>
            </w:r>
            <w:r w:rsidR="00BD2EB4">
              <w:t>k</w:t>
            </w:r>
            <w:r>
              <w:t xml:space="preserve"> </w:t>
            </w:r>
          </w:p>
        </w:tc>
      </w:tr>
      <w:tr w:rsidR="00641650" w14:paraId="06FE3093" w14:textId="77777777" w:rsidTr="00624481">
        <w:tc>
          <w:tcPr>
            <w:tcW w:w="2972" w:type="dxa"/>
            <w:shd w:val="clear" w:color="auto" w:fill="D9E2F3" w:themeFill="accent1" w:themeFillTint="33"/>
          </w:tcPr>
          <w:p w14:paraId="0DA99C27" w14:textId="6ABFF9AF" w:rsidR="00641650" w:rsidRDefault="00641650" w:rsidP="001050DD">
            <w:r>
              <w:t xml:space="preserve">Emerging / foreseeable </w:t>
            </w:r>
          </w:p>
        </w:tc>
        <w:tc>
          <w:tcPr>
            <w:tcW w:w="6095" w:type="dxa"/>
            <w:shd w:val="clear" w:color="auto" w:fill="D9E2F3" w:themeFill="accent1" w:themeFillTint="33"/>
          </w:tcPr>
          <w:p w14:paraId="3ED831E0" w14:textId="7D0E41AE" w:rsidR="00641650" w:rsidRPr="002A65DE" w:rsidRDefault="00B50B3B" w:rsidP="001050DD">
            <w:r>
              <w:t>Climate Change</w:t>
            </w:r>
          </w:p>
        </w:tc>
      </w:tr>
    </w:tbl>
    <w:p w14:paraId="268DD32D" w14:textId="421791AA" w:rsidR="00080D42" w:rsidRDefault="00080D42" w:rsidP="001050DD">
      <w:pPr>
        <w:spacing w:after="0" w:line="240" w:lineRule="auto"/>
      </w:pPr>
    </w:p>
    <w:p w14:paraId="3F293A07" w14:textId="655B464C" w:rsidR="00080D42" w:rsidRDefault="00080D42" w:rsidP="001050DD">
      <w:pPr>
        <w:spacing w:after="0" w:line="240" w:lineRule="auto"/>
      </w:pPr>
      <w:r>
        <w:t xml:space="preserve">It might </w:t>
      </w:r>
      <w:r w:rsidRPr="007F037E">
        <w:t xml:space="preserve">help organise </w:t>
      </w:r>
      <w:r w:rsidR="00EB2235">
        <w:t>the</w:t>
      </w:r>
      <w:r w:rsidRPr="007F037E">
        <w:t xml:space="preserve"> </w:t>
      </w:r>
      <w:r w:rsidRPr="00334FD6">
        <w:t>hazard identification</w:t>
      </w:r>
      <w:r w:rsidRPr="007F037E">
        <w:t xml:space="preserve"> activity by assigning the responsibility for </w:t>
      </w:r>
      <w:r w:rsidRPr="00334FD6">
        <w:t>hazard identification</w:t>
      </w:r>
      <w:r w:rsidRPr="007F037E">
        <w:t xml:space="preserve"> to the owner of </w:t>
      </w:r>
      <w:r w:rsidR="00EB2235">
        <w:t>the</w:t>
      </w:r>
      <w:r w:rsidRPr="007F037E">
        <w:t xml:space="preserve"> Service</w:t>
      </w:r>
      <w:r>
        <w:t xml:space="preserve">’s </w:t>
      </w:r>
      <w:r w:rsidRPr="00334FD6">
        <w:t>objectives</w:t>
      </w:r>
      <w:r>
        <w:t xml:space="preserve"> that relate to community </w:t>
      </w:r>
      <w:r w:rsidRPr="00334FD6">
        <w:t>risk</w:t>
      </w:r>
      <w:r w:rsidRPr="007F037E">
        <w:t>.</w:t>
      </w:r>
    </w:p>
    <w:p w14:paraId="22099E18" w14:textId="77777777" w:rsidR="001050DD" w:rsidRPr="007F037E" w:rsidRDefault="001050DD" w:rsidP="001050DD">
      <w:pPr>
        <w:spacing w:after="0" w:line="240" w:lineRule="auto"/>
      </w:pPr>
    </w:p>
    <w:p w14:paraId="49CAB850" w14:textId="1C50EF5A" w:rsidR="00080D42" w:rsidRDefault="00C07193" w:rsidP="001050DD">
      <w:pPr>
        <w:spacing w:after="0" w:line="240" w:lineRule="auto"/>
      </w:pPr>
      <w:r>
        <w:t xml:space="preserve">In the </w:t>
      </w:r>
      <w:r w:rsidR="00080D42" w:rsidRPr="00334FD6">
        <w:t>hazard identification</w:t>
      </w:r>
      <w:r w:rsidR="008D6429">
        <w:t xml:space="preserve"> part of the process, there is no</w:t>
      </w:r>
      <w:r w:rsidR="00080D42" w:rsidRPr="007F037E">
        <w:t xml:space="preserve"> </w:t>
      </w:r>
      <w:r w:rsidR="00717EA4">
        <w:t xml:space="preserve">strict </w:t>
      </w:r>
      <w:r w:rsidR="00080D42" w:rsidRPr="007F037E">
        <w:t xml:space="preserve">need to be concerned about the </w:t>
      </w:r>
      <w:r w:rsidR="00080D42" w:rsidRPr="00334FD6">
        <w:t>likelihood</w:t>
      </w:r>
      <w:r w:rsidR="00080D42" w:rsidRPr="007F037E">
        <w:t xml:space="preserve"> of occurrence of the </w:t>
      </w:r>
      <w:r w:rsidR="00080D42" w:rsidRPr="00334FD6">
        <w:t>hazardous event</w:t>
      </w:r>
      <w:r w:rsidR="00080D42">
        <w:t>(s)</w:t>
      </w:r>
      <w:r w:rsidR="00080D42" w:rsidRPr="007F037E">
        <w:t xml:space="preserve">. </w:t>
      </w:r>
      <w:r w:rsidR="008069C1">
        <w:t xml:space="preserve">However, this information does need to be considered as part of the </w:t>
      </w:r>
      <w:r w:rsidR="00785683" w:rsidRPr="00A51A0D">
        <w:rPr>
          <w:b/>
          <w:bCs/>
          <w:highlight w:val="yellow"/>
        </w:rPr>
        <w:t>R</w:t>
      </w:r>
      <w:r w:rsidR="00334FD6" w:rsidRPr="00A51A0D">
        <w:rPr>
          <w:b/>
          <w:bCs/>
          <w:highlight w:val="yellow"/>
        </w:rPr>
        <w:t>isk Analysis</w:t>
      </w:r>
      <w:r w:rsidR="00785683" w:rsidRPr="00785683">
        <w:t xml:space="preserve"> </w:t>
      </w:r>
      <w:r w:rsidR="00785683">
        <w:t xml:space="preserve">part of the process. </w:t>
      </w:r>
      <w:r w:rsidR="008069C1">
        <w:t>With that in mind, it is advisable when planning your data/evidence collection approach</w:t>
      </w:r>
      <w:r w:rsidR="00E602EE">
        <w:t xml:space="preserve"> (</w:t>
      </w:r>
      <w:r w:rsidR="00E602EE" w:rsidRPr="00E602EE">
        <w:rPr>
          <w:b/>
          <w:bCs/>
          <w:highlight w:val="yellow"/>
        </w:rPr>
        <w:t>Data and Business Intelligence guidance</w:t>
      </w:r>
      <w:r w:rsidR="00E602EE">
        <w:t>)</w:t>
      </w:r>
      <w:r w:rsidR="008069C1">
        <w:t xml:space="preserve"> and stakeholder engagement</w:t>
      </w:r>
      <w:r w:rsidR="00E50235">
        <w:t xml:space="preserve"> strategy</w:t>
      </w:r>
      <w:r w:rsidR="00E602EE">
        <w:t xml:space="preserve"> (</w:t>
      </w:r>
      <w:r w:rsidR="00E602EE" w:rsidRPr="00E602EE">
        <w:rPr>
          <w:b/>
          <w:bCs/>
          <w:highlight w:val="yellow"/>
        </w:rPr>
        <w:t>Stakeholder and Public Engagement</w:t>
      </w:r>
      <w:r w:rsidR="00E602EE">
        <w:t>)</w:t>
      </w:r>
      <w:r w:rsidR="00E50235">
        <w:t xml:space="preserve"> that you maximise </w:t>
      </w:r>
      <w:r w:rsidR="004343C0">
        <w:t xml:space="preserve">opportunities by seeking </w:t>
      </w:r>
      <w:r w:rsidR="00AE1609">
        <w:t xml:space="preserve">out </w:t>
      </w:r>
      <w:r w:rsidR="007D7812">
        <w:t xml:space="preserve">data relevant to both hazard identification and Risk Analysis in tandem. </w:t>
      </w:r>
    </w:p>
    <w:p w14:paraId="109A986B" w14:textId="77777777" w:rsidR="001050DD" w:rsidRPr="007F037E" w:rsidRDefault="001050DD" w:rsidP="001050DD">
      <w:pPr>
        <w:spacing w:after="0" w:line="240" w:lineRule="auto"/>
      </w:pPr>
    </w:p>
    <w:p w14:paraId="7B0D364F" w14:textId="23E9C351" w:rsidR="00080D42" w:rsidRDefault="00080D42" w:rsidP="001050DD">
      <w:pPr>
        <w:spacing w:after="0" w:line="240" w:lineRule="auto"/>
      </w:pPr>
      <w:r>
        <w:t xml:space="preserve">Carried out thoroughly, </w:t>
      </w:r>
      <w:r w:rsidR="00EB2235">
        <w:t xml:space="preserve">the </w:t>
      </w:r>
      <w:r w:rsidRPr="00785683">
        <w:t>hazard identification</w:t>
      </w:r>
      <w:r>
        <w:t xml:space="preserve"> </w:t>
      </w:r>
      <w:r w:rsidR="00EB2235">
        <w:t xml:space="preserve">process </w:t>
      </w:r>
      <w:r>
        <w:t>will reveal</w:t>
      </w:r>
      <w:r w:rsidR="0008335F">
        <w:t xml:space="preserve"> the </w:t>
      </w:r>
      <w:bookmarkStart w:id="6" w:name="_Hlk125625972"/>
      <w:r w:rsidR="00E82735">
        <w:t>‘</w:t>
      </w:r>
      <w:r w:rsidRPr="00E82735">
        <w:rPr>
          <w:i/>
          <w:iCs/>
        </w:rPr>
        <w:t xml:space="preserve">what, where, </w:t>
      </w:r>
      <w:commentRangeStart w:id="7"/>
      <w:commentRangeStart w:id="8"/>
      <w:commentRangeStart w:id="9"/>
      <w:proofErr w:type="gramStart"/>
      <w:r w:rsidRPr="00E82735">
        <w:rPr>
          <w:i/>
          <w:iCs/>
        </w:rPr>
        <w:t>when,</w:t>
      </w:r>
      <w:proofErr w:type="gramEnd"/>
      <w:r w:rsidRPr="00E82735">
        <w:rPr>
          <w:i/>
          <w:iCs/>
        </w:rPr>
        <w:t xml:space="preserve"> why</w:t>
      </w:r>
      <w:commentRangeEnd w:id="7"/>
      <w:r w:rsidRPr="00E82735">
        <w:rPr>
          <w:rStyle w:val="CommentReference"/>
          <w:i/>
          <w:iCs/>
        </w:rPr>
        <w:commentReference w:id="7"/>
      </w:r>
      <w:commentRangeEnd w:id="8"/>
      <w:r w:rsidR="00442697" w:rsidRPr="00E82735">
        <w:rPr>
          <w:rStyle w:val="CommentReference"/>
          <w:i/>
          <w:iCs/>
        </w:rPr>
        <w:commentReference w:id="8"/>
      </w:r>
      <w:commentRangeEnd w:id="9"/>
      <w:r w:rsidR="002D49A3">
        <w:rPr>
          <w:rStyle w:val="CommentReference"/>
        </w:rPr>
        <w:commentReference w:id="9"/>
      </w:r>
      <w:r w:rsidRPr="00E82735">
        <w:rPr>
          <w:i/>
          <w:iCs/>
        </w:rPr>
        <w:t xml:space="preserve"> and how</w:t>
      </w:r>
      <w:r w:rsidR="00E82735">
        <w:rPr>
          <w:i/>
          <w:iCs/>
        </w:rPr>
        <w:t>’</w:t>
      </w:r>
      <w:r>
        <w:t xml:space="preserve"> </w:t>
      </w:r>
      <w:bookmarkEnd w:id="6"/>
      <w:r w:rsidRPr="00785683">
        <w:t>hazardous events</w:t>
      </w:r>
      <w:r>
        <w:t xml:space="preserve"> could happen, and the range of possible effects on </w:t>
      </w:r>
      <w:r w:rsidRPr="00785683">
        <w:t>objectives</w:t>
      </w:r>
      <w:r>
        <w:t xml:space="preserve"> (i.e. the ‘</w:t>
      </w:r>
      <w:r w:rsidRPr="00785683">
        <w:t>consequences’</w:t>
      </w:r>
      <w:r>
        <w:t>).</w:t>
      </w:r>
      <w:r w:rsidR="00596A8F">
        <w:t xml:space="preserve"> </w:t>
      </w:r>
      <w:r w:rsidR="004A3E77">
        <w:t xml:space="preserve">It should be </w:t>
      </w:r>
      <w:r w:rsidR="00CE0C9A">
        <w:t xml:space="preserve">known that the </w:t>
      </w:r>
      <w:r w:rsidR="00CE0C9A" w:rsidRPr="00CE0C9A">
        <w:t xml:space="preserve">‘what, where, </w:t>
      </w:r>
      <w:proofErr w:type="gramStart"/>
      <w:r w:rsidR="00CE0C9A" w:rsidRPr="00CE0C9A">
        <w:t>when,</w:t>
      </w:r>
      <w:proofErr w:type="gramEnd"/>
      <w:r w:rsidR="00CE0C9A" w:rsidRPr="00CE0C9A">
        <w:t xml:space="preserve"> why and how’</w:t>
      </w:r>
      <w:r w:rsidR="00CE0C9A">
        <w:t xml:space="preserve"> of hazard events </w:t>
      </w:r>
      <w:r w:rsidR="0069602E">
        <w:t>overlap and interrelate, for example the ‘when’ and ‘why’ of a hazardous events often share a causal relationship. However, such relationships are subject to continua</w:t>
      </w:r>
      <w:r w:rsidR="00C42F3D">
        <w:t>l</w:t>
      </w:r>
      <w:r w:rsidR="0069602E">
        <w:t xml:space="preserve"> change as communities </w:t>
      </w:r>
      <w:r w:rsidR="00C42F3D">
        <w:t>shift and develop</w:t>
      </w:r>
      <w:r w:rsidR="00716695">
        <w:t xml:space="preserve"> and new hazards are introduced.</w:t>
      </w:r>
      <w:r w:rsidR="00EB2235">
        <w:t xml:space="preserve"> It is</w:t>
      </w:r>
      <w:r w:rsidR="00CE0C9A">
        <w:t xml:space="preserve"> therefore</w:t>
      </w:r>
      <w:r w:rsidR="00EB2235">
        <w:t xml:space="preserve"> also essential to have frequent conversations about </w:t>
      </w:r>
      <w:r w:rsidR="00EB2235" w:rsidRPr="001054D1">
        <w:t>risk</w:t>
      </w:r>
      <w:r w:rsidR="00EB2235">
        <w:t xml:space="preserve"> to maintain a continual refresh of </w:t>
      </w:r>
      <w:r w:rsidR="00EB2235" w:rsidRPr="001054D1">
        <w:t>hazard identification</w:t>
      </w:r>
      <w:r w:rsidR="00EB2235">
        <w:t>.</w:t>
      </w:r>
    </w:p>
    <w:p w14:paraId="4AEF38CF" w14:textId="77777777" w:rsidR="001050DD" w:rsidRPr="00785683" w:rsidRDefault="001050DD" w:rsidP="001050DD">
      <w:pPr>
        <w:spacing w:after="0" w:line="240" w:lineRule="auto"/>
      </w:pPr>
    </w:p>
    <w:p w14:paraId="1457CD37" w14:textId="483E02EC" w:rsidR="00200FA0" w:rsidRDefault="00080D42" w:rsidP="0062448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b/>
          <w:bCs/>
        </w:rPr>
      </w:pPr>
      <w:r w:rsidRPr="00B557F2">
        <w:rPr>
          <w:b/>
          <w:bCs/>
        </w:rPr>
        <w:t xml:space="preserve">Tips for effective </w:t>
      </w:r>
      <w:r>
        <w:rPr>
          <w:b/>
          <w:bCs/>
        </w:rPr>
        <w:t>hazard</w:t>
      </w:r>
      <w:r w:rsidRPr="00B557F2">
        <w:rPr>
          <w:b/>
          <w:bCs/>
        </w:rPr>
        <w:t xml:space="preserve"> identification:</w:t>
      </w:r>
    </w:p>
    <w:p w14:paraId="656AC432" w14:textId="77777777" w:rsidR="0072446E" w:rsidRPr="00200FA0" w:rsidRDefault="0072446E" w:rsidP="0062448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b/>
          <w:bCs/>
        </w:rPr>
      </w:pPr>
    </w:p>
    <w:p w14:paraId="7872A3A0" w14:textId="496C21DE" w:rsidR="00080D42" w:rsidRPr="00200FA0" w:rsidRDefault="00080D42" w:rsidP="006244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2"/>
          <w:szCs w:val="22"/>
        </w:rPr>
      </w:pPr>
      <w:r w:rsidRPr="00200FA0">
        <w:rPr>
          <w:sz w:val="22"/>
          <w:szCs w:val="22"/>
        </w:rPr>
        <w:t xml:space="preserve">Ensure that </w:t>
      </w:r>
      <w:r w:rsidR="00785683" w:rsidRPr="00200FA0">
        <w:rPr>
          <w:sz w:val="22"/>
          <w:szCs w:val="22"/>
        </w:rPr>
        <w:t>the</w:t>
      </w:r>
      <w:r w:rsidRPr="00200FA0">
        <w:rPr>
          <w:sz w:val="22"/>
          <w:szCs w:val="22"/>
        </w:rPr>
        <w:t xml:space="preserve"> Scope is fully </w:t>
      </w:r>
      <w:r w:rsidR="004A3C60" w:rsidRPr="00200FA0">
        <w:rPr>
          <w:sz w:val="22"/>
          <w:szCs w:val="22"/>
        </w:rPr>
        <w:t>established</w:t>
      </w:r>
      <w:r w:rsidR="002662A6">
        <w:rPr>
          <w:sz w:val="22"/>
          <w:szCs w:val="22"/>
        </w:rPr>
        <w:t xml:space="preserve"> (</w:t>
      </w:r>
      <w:r w:rsidR="002662A6" w:rsidRPr="002662A6">
        <w:rPr>
          <w:b/>
          <w:bCs/>
          <w:sz w:val="22"/>
          <w:szCs w:val="22"/>
          <w:highlight w:val="yellow"/>
        </w:rPr>
        <w:t>Defining Scope</w:t>
      </w:r>
      <w:r w:rsidR="002662A6">
        <w:rPr>
          <w:sz w:val="22"/>
          <w:szCs w:val="22"/>
        </w:rPr>
        <w:t>)</w:t>
      </w:r>
      <w:r w:rsidR="004A3C60" w:rsidRPr="00200FA0">
        <w:rPr>
          <w:sz w:val="22"/>
          <w:szCs w:val="22"/>
        </w:rPr>
        <w:t>.</w:t>
      </w:r>
    </w:p>
    <w:p w14:paraId="60FC1EE5" w14:textId="345EB760" w:rsidR="00080D42" w:rsidRPr="00200FA0" w:rsidRDefault="00080D42" w:rsidP="006244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2"/>
          <w:szCs w:val="22"/>
        </w:rPr>
      </w:pPr>
      <w:r w:rsidRPr="00200FA0">
        <w:rPr>
          <w:sz w:val="22"/>
          <w:szCs w:val="22"/>
        </w:rPr>
        <w:t xml:space="preserve">Gather, </w:t>
      </w:r>
      <w:r w:rsidR="004A3C60" w:rsidRPr="00200FA0">
        <w:rPr>
          <w:sz w:val="22"/>
          <w:szCs w:val="22"/>
        </w:rPr>
        <w:t>consolidate,</w:t>
      </w:r>
      <w:r w:rsidRPr="00200FA0">
        <w:rPr>
          <w:sz w:val="22"/>
          <w:szCs w:val="22"/>
        </w:rPr>
        <w:t xml:space="preserve"> and analyse </w:t>
      </w:r>
      <w:commentRangeStart w:id="10"/>
      <w:commentRangeStart w:id="11"/>
      <w:r w:rsidRPr="00200FA0">
        <w:rPr>
          <w:sz w:val="22"/>
          <w:szCs w:val="22"/>
        </w:rPr>
        <w:t>relevant historical information and data</w:t>
      </w:r>
      <w:commentRangeEnd w:id="10"/>
      <w:r w:rsidRPr="00200FA0">
        <w:rPr>
          <w:rStyle w:val="CommentReference"/>
          <w:sz w:val="22"/>
          <w:szCs w:val="22"/>
        </w:rPr>
        <w:commentReference w:id="10"/>
      </w:r>
      <w:commentRangeEnd w:id="11"/>
      <w:r w:rsidR="00A501BA" w:rsidRPr="00200FA0">
        <w:rPr>
          <w:rStyle w:val="CommentReference"/>
          <w:sz w:val="22"/>
          <w:szCs w:val="22"/>
        </w:rPr>
        <w:commentReference w:id="11"/>
      </w:r>
      <w:r w:rsidR="004A3C60">
        <w:rPr>
          <w:sz w:val="22"/>
          <w:szCs w:val="22"/>
        </w:rPr>
        <w:t>.</w:t>
      </w:r>
    </w:p>
    <w:p w14:paraId="1BD650D1" w14:textId="72A7AD15" w:rsidR="0021350E" w:rsidRPr="00200FA0" w:rsidRDefault="0021350E" w:rsidP="006244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2"/>
          <w:szCs w:val="22"/>
        </w:rPr>
      </w:pPr>
      <w:r w:rsidRPr="00200FA0">
        <w:rPr>
          <w:sz w:val="22"/>
          <w:szCs w:val="22"/>
        </w:rPr>
        <w:t>Hori</w:t>
      </w:r>
      <w:r w:rsidR="00A501BA" w:rsidRPr="00200FA0">
        <w:rPr>
          <w:sz w:val="22"/>
          <w:szCs w:val="22"/>
        </w:rPr>
        <w:t xml:space="preserve">zon scanning of emerging </w:t>
      </w:r>
      <w:r w:rsidR="004A3C60" w:rsidRPr="00200FA0">
        <w:rPr>
          <w:sz w:val="22"/>
          <w:szCs w:val="22"/>
        </w:rPr>
        <w:t>risks.</w:t>
      </w:r>
      <w:r w:rsidR="00A501BA" w:rsidRPr="00200FA0">
        <w:rPr>
          <w:sz w:val="22"/>
          <w:szCs w:val="22"/>
        </w:rPr>
        <w:t xml:space="preserve"> </w:t>
      </w:r>
    </w:p>
    <w:p w14:paraId="433A1514" w14:textId="2F8C9D71" w:rsidR="00080D42" w:rsidRPr="00200FA0" w:rsidRDefault="00080D42" w:rsidP="006244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2"/>
          <w:szCs w:val="22"/>
        </w:rPr>
      </w:pPr>
      <w:r w:rsidRPr="00200FA0">
        <w:rPr>
          <w:sz w:val="22"/>
          <w:szCs w:val="22"/>
        </w:rPr>
        <w:t>Involve people with wide ranges of experience</w:t>
      </w:r>
      <w:r w:rsidR="00C335AB">
        <w:rPr>
          <w:sz w:val="22"/>
          <w:szCs w:val="22"/>
        </w:rPr>
        <w:t xml:space="preserve"> in the CRMP process</w:t>
      </w:r>
      <w:r w:rsidR="004A3C60">
        <w:rPr>
          <w:sz w:val="22"/>
          <w:szCs w:val="22"/>
        </w:rPr>
        <w:t>.</w:t>
      </w:r>
    </w:p>
    <w:p w14:paraId="26476A99" w14:textId="5504B8D6" w:rsidR="00080D42" w:rsidRPr="00200FA0" w:rsidRDefault="00080D42" w:rsidP="006244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2"/>
          <w:szCs w:val="22"/>
        </w:rPr>
      </w:pPr>
      <w:r w:rsidRPr="00200FA0">
        <w:rPr>
          <w:sz w:val="22"/>
          <w:szCs w:val="22"/>
        </w:rPr>
        <w:t xml:space="preserve">Ensure that hazards are clearly described and </w:t>
      </w:r>
      <w:r w:rsidR="00C335AB">
        <w:rPr>
          <w:sz w:val="22"/>
          <w:szCs w:val="22"/>
        </w:rPr>
        <w:t>that</w:t>
      </w:r>
      <w:r w:rsidR="008D24D4">
        <w:rPr>
          <w:sz w:val="22"/>
          <w:szCs w:val="22"/>
        </w:rPr>
        <w:t xml:space="preserve"> each hazard is distinct from other identified hazards with no overlaps</w:t>
      </w:r>
      <w:r w:rsidR="004A3C60">
        <w:rPr>
          <w:sz w:val="22"/>
          <w:szCs w:val="22"/>
        </w:rPr>
        <w:t>.</w:t>
      </w:r>
    </w:p>
    <w:p w14:paraId="1CD12A41" w14:textId="7C4E3481" w:rsidR="00080D42" w:rsidRPr="00200FA0" w:rsidRDefault="00C217EC" w:rsidP="006244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b/>
          <w:bCs/>
          <w:sz w:val="22"/>
          <w:szCs w:val="22"/>
        </w:rPr>
      </w:pPr>
      <w:r>
        <w:rPr>
          <w:sz w:val="22"/>
          <w:szCs w:val="22"/>
        </w:rPr>
        <w:t>Pin down the level of depth for both Hazard Identification and</w:t>
      </w:r>
      <w:r w:rsidR="00080D42" w:rsidRPr="00200FA0">
        <w:rPr>
          <w:sz w:val="22"/>
          <w:szCs w:val="22"/>
        </w:rPr>
        <w:t xml:space="preserve"> </w:t>
      </w:r>
      <w:r w:rsidR="007511AB">
        <w:rPr>
          <w:b/>
          <w:bCs/>
          <w:sz w:val="22"/>
          <w:szCs w:val="22"/>
          <w:highlight w:val="yellow"/>
        </w:rPr>
        <w:t>R</w:t>
      </w:r>
      <w:r w:rsidR="00080D42" w:rsidRPr="00200FA0">
        <w:rPr>
          <w:b/>
          <w:bCs/>
          <w:sz w:val="22"/>
          <w:szCs w:val="22"/>
          <w:highlight w:val="yellow"/>
        </w:rPr>
        <w:t xml:space="preserve">isk </w:t>
      </w:r>
      <w:r w:rsidR="007511AB">
        <w:rPr>
          <w:b/>
          <w:bCs/>
          <w:sz w:val="22"/>
          <w:szCs w:val="22"/>
          <w:highlight w:val="yellow"/>
        </w:rPr>
        <w:t>A</w:t>
      </w:r>
      <w:r w:rsidR="004A3C60" w:rsidRPr="00200FA0">
        <w:rPr>
          <w:b/>
          <w:bCs/>
          <w:sz w:val="22"/>
          <w:szCs w:val="22"/>
          <w:highlight w:val="yellow"/>
        </w:rPr>
        <w:t>nalysis</w:t>
      </w:r>
      <w:r>
        <w:rPr>
          <w:b/>
          <w:bCs/>
          <w:sz w:val="22"/>
          <w:szCs w:val="22"/>
        </w:rPr>
        <w:t xml:space="preserve"> </w:t>
      </w:r>
      <w:r w:rsidRPr="00C217EC">
        <w:rPr>
          <w:sz w:val="22"/>
          <w:szCs w:val="22"/>
        </w:rPr>
        <w:t xml:space="preserve">beforehand </w:t>
      </w:r>
      <w:r>
        <w:rPr>
          <w:sz w:val="22"/>
          <w:szCs w:val="22"/>
        </w:rPr>
        <w:t xml:space="preserve">and consolidate evidence gathering and stakeholder engagement methods to meet the needs of both stages.  </w:t>
      </w:r>
    </w:p>
    <w:p w14:paraId="1F4EBBB5" w14:textId="59FB056B" w:rsidR="00080D42" w:rsidRPr="00200FA0" w:rsidRDefault="00080D42" w:rsidP="00624481">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2"/>
          <w:szCs w:val="22"/>
        </w:rPr>
      </w:pPr>
      <w:r w:rsidRPr="00200FA0">
        <w:rPr>
          <w:sz w:val="22"/>
          <w:szCs w:val="22"/>
        </w:rPr>
        <w:t>Record the output fully and preserve the record for future reference</w:t>
      </w:r>
      <w:r w:rsidR="00557687">
        <w:rPr>
          <w:sz w:val="22"/>
          <w:szCs w:val="22"/>
        </w:rPr>
        <w:t xml:space="preserve"> and evaluation</w:t>
      </w:r>
      <w:r w:rsidRPr="00200FA0">
        <w:rPr>
          <w:sz w:val="22"/>
          <w:szCs w:val="22"/>
        </w:rPr>
        <w:t>. Records should refer to the statement of Scope from which the hazards were identified.</w:t>
      </w:r>
    </w:p>
    <w:p w14:paraId="2A83DC28" w14:textId="77777777" w:rsidR="00080D42" w:rsidRPr="00200FA0" w:rsidRDefault="00080D42" w:rsidP="0062448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pPr>
      <w:r w:rsidRPr="00200FA0">
        <w:t xml:space="preserve"> </w:t>
      </w:r>
    </w:p>
    <w:p w14:paraId="1FA1B65C" w14:textId="77777777" w:rsidR="00080D42" w:rsidRDefault="00080D42" w:rsidP="001050DD">
      <w:pPr>
        <w:spacing w:after="0" w:line="240" w:lineRule="auto"/>
      </w:pPr>
    </w:p>
    <w:p w14:paraId="1ECA41D4" w14:textId="6FC2E449" w:rsidR="00080D42" w:rsidRDefault="00E66B00" w:rsidP="001050DD">
      <w:pPr>
        <w:spacing w:after="0" w:line="240" w:lineRule="auto"/>
        <w:rPr>
          <w:b/>
          <w:bCs/>
          <w:color w:val="FF0000"/>
          <w:sz w:val="44"/>
          <w:szCs w:val="44"/>
        </w:rPr>
      </w:pPr>
      <w:r>
        <w:rPr>
          <w:b/>
          <w:bCs/>
          <w:color w:val="FF0000"/>
          <w:sz w:val="44"/>
          <w:szCs w:val="44"/>
        </w:rPr>
        <w:t>Hazard</w:t>
      </w:r>
      <w:r w:rsidR="001B3576">
        <w:rPr>
          <w:b/>
          <w:bCs/>
          <w:color w:val="FF0000"/>
          <w:sz w:val="44"/>
          <w:szCs w:val="44"/>
        </w:rPr>
        <w:t xml:space="preserve">ous Events </w:t>
      </w:r>
    </w:p>
    <w:p w14:paraId="0846413D" w14:textId="77777777" w:rsidR="004E3C5E" w:rsidRDefault="004E3C5E" w:rsidP="0075665B"/>
    <w:p w14:paraId="6BB409BE" w14:textId="60182E1A" w:rsidR="00353164" w:rsidRDefault="0077246C" w:rsidP="0075665B">
      <w:pPr>
        <w:tabs>
          <w:tab w:val="left" w:pos="1117"/>
        </w:tabs>
        <w:spacing w:after="0" w:line="240" w:lineRule="auto"/>
        <w:rPr>
          <w:i/>
          <w:iCs/>
        </w:rPr>
      </w:pPr>
      <w:r w:rsidRPr="0077246C">
        <w:rPr>
          <w:i/>
          <w:iCs/>
        </w:rPr>
        <w:t xml:space="preserve">What are the potential </w:t>
      </w:r>
      <w:r w:rsidRPr="0077246C">
        <w:rPr>
          <w:b/>
          <w:bCs/>
          <w:i/>
          <w:iCs/>
        </w:rPr>
        <w:t>events</w:t>
      </w:r>
      <w:r w:rsidRPr="0077246C">
        <w:rPr>
          <w:i/>
          <w:iCs/>
        </w:rPr>
        <w:t xml:space="preserve"> </w:t>
      </w:r>
      <w:r w:rsidRPr="0077246C">
        <w:rPr>
          <w:b/>
          <w:bCs/>
          <w:i/>
          <w:iCs/>
        </w:rPr>
        <w:t>that could lead to a hazard</w:t>
      </w:r>
      <w:r w:rsidRPr="0077246C">
        <w:rPr>
          <w:i/>
          <w:iCs/>
        </w:rPr>
        <w:t xml:space="preserve"> causing harm to a risk group? </w:t>
      </w:r>
    </w:p>
    <w:p w14:paraId="0D05F159" w14:textId="77777777" w:rsidR="0075665B" w:rsidRPr="0075665B" w:rsidRDefault="0075665B" w:rsidP="0075665B">
      <w:pPr>
        <w:tabs>
          <w:tab w:val="left" w:pos="1117"/>
        </w:tabs>
        <w:spacing w:after="0" w:line="240" w:lineRule="auto"/>
        <w:rPr>
          <w:i/>
          <w:iCs/>
        </w:rPr>
      </w:pPr>
    </w:p>
    <w:p w14:paraId="07226D8C" w14:textId="51A1D24B" w:rsidR="001B01FC" w:rsidRDefault="001B01FC" w:rsidP="001050DD">
      <w:pPr>
        <w:tabs>
          <w:tab w:val="left" w:pos="1117"/>
        </w:tabs>
        <w:spacing w:after="0" w:line="240" w:lineRule="auto"/>
      </w:pPr>
      <w:r>
        <w:t xml:space="preserve">The </w:t>
      </w:r>
      <w:proofErr w:type="spellStart"/>
      <w:r>
        <w:t>DoR</w:t>
      </w:r>
      <w:proofErr w:type="spellEnd"/>
      <w:r>
        <w:t xml:space="preserve"> </w:t>
      </w:r>
      <w:r w:rsidR="00102137">
        <w:t>Report</w:t>
      </w:r>
      <w:r>
        <w:t xml:space="preserve"> </w:t>
      </w:r>
      <w:r w:rsidR="00102137">
        <w:t xml:space="preserve">documents that </w:t>
      </w:r>
      <w:r>
        <w:t xml:space="preserve">Hazardous events are specific potential events that can cause harm. They differ from hazards as follows: </w:t>
      </w:r>
    </w:p>
    <w:p w14:paraId="42B18D6B" w14:textId="77777777" w:rsidR="00102137" w:rsidRDefault="00102137" w:rsidP="001050DD">
      <w:pPr>
        <w:tabs>
          <w:tab w:val="left" w:pos="1117"/>
        </w:tabs>
        <w:spacing w:after="0" w:line="240" w:lineRule="auto"/>
      </w:pPr>
    </w:p>
    <w:p w14:paraId="11071B9D" w14:textId="77777777" w:rsidR="001B01FC" w:rsidRPr="001B01FC" w:rsidRDefault="001B01FC" w:rsidP="001B01FC">
      <w:pPr>
        <w:pStyle w:val="ListParagraph"/>
        <w:numPr>
          <w:ilvl w:val="0"/>
          <w:numId w:val="19"/>
        </w:numPr>
        <w:tabs>
          <w:tab w:val="left" w:pos="1117"/>
        </w:tabs>
        <w:rPr>
          <w:sz w:val="22"/>
          <w:szCs w:val="22"/>
        </w:rPr>
      </w:pPr>
      <w:r w:rsidRPr="001B01FC">
        <w:rPr>
          <w:sz w:val="22"/>
          <w:szCs w:val="22"/>
        </w:rPr>
        <w:t xml:space="preserve">Hazardous events are specific occurrences, so that they can be counted and quantified. For example, if the hazard is “a high-rise building”, the corresponding hazardous event might be “fire in a high-rise building. </w:t>
      </w:r>
    </w:p>
    <w:p w14:paraId="53A44CEE" w14:textId="77777777" w:rsidR="001B01FC" w:rsidRPr="001B01FC" w:rsidRDefault="001B01FC" w:rsidP="001B01FC">
      <w:pPr>
        <w:pStyle w:val="ListParagraph"/>
        <w:numPr>
          <w:ilvl w:val="0"/>
          <w:numId w:val="19"/>
        </w:numPr>
        <w:tabs>
          <w:tab w:val="left" w:pos="1117"/>
        </w:tabs>
        <w:rPr>
          <w:sz w:val="22"/>
          <w:szCs w:val="22"/>
        </w:rPr>
      </w:pPr>
      <w:r w:rsidRPr="001B01FC">
        <w:rPr>
          <w:sz w:val="22"/>
          <w:szCs w:val="22"/>
        </w:rPr>
        <w:t xml:space="preserve">Hazardous events are </w:t>
      </w:r>
      <w:proofErr w:type="gramStart"/>
      <w:r w:rsidRPr="001B01FC">
        <w:rPr>
          <w:sz w:val="22"/>
          <w:szCs w:val="22"/>
        </w:rPr>
        <w:t>mutually-exclusive</w:t>
      </w:r>
      <w:proofErr w:type="gramEnd"/>
      <w:r w:rsidRPr="001B01FC">
        <w:rPr>
          <w:sz w:val="22"/>
          <w:szCs w:val="22"/>
        </w:rPr>
        <w:t xml:space="preserve">, so that their risks can be added up. For example, two hazards might be “a high-rise building” and “dwelling fire”, but the corresponding hazardous events must eliminate the overlap, such as “high-rise building fire” and “low-rise dwelling fire”. </w:t>
      </w:r>
    </w:p>
    <w:p w14:paraId="4F8791FF" w14:textId="1DCF646B" w:rsidR="00353164" w:rsidRPr="001B01FC" w:rsidRDefault="001B01FC" w:rsidP="001B01FC">
      <w:pPr>
        <w:pStyle w:val="ListParagraph"/>
        <w:numPr>
          <w:ilvl w:val="0"/>
          <w:numId w:val="19"/>
        </w:numPr>
        <w:tabs>
          <w:tab w:val="left" w:pos="1117"/>
        </w:tabs>
        <w:rPr>
          <w:sz w:val="22"/>
          <w:szCs w:val="22"/>
        </w:rPr>
      </w:pPr>
      <w:r w:rsidRPr="001B01FC">
        <w:rPr>
          <w:sz w:val="22"/>
          <w:szCs w:val="22"/>
        </w:rPr>
        <w:t>Hazardous events are representative of the range of such events that might occur, so that it is practical to assess their risks. For example, a hazard such as “dwelling fire” might be split into “minor”, “severe but contained” and “uncontained</w:t>
      </w:r>
      <w:r w:rsidR="00B12F13">
        <w:rPr>
          <w:sz w:val="22"/>
          <w:szCs w:val="22"/>
        </w:rPr>
        <w:t xml:space="preserve">”. </w:t>
      </w:r>
    </w:p>
    <w:p w14:paraId="569FBFA2" w14:textId="77777777" w:rsidR="007D3D54" w:rsidRDefault="007D3D54" w:rsidP="001050DD">
      <w:pPr>
        <w:tabs>
          <w:tab w:val="left" w:pos="1117"/>
        </w:tabs>
        <w:spacing w:after="0" w:line="240" w:lineRule="auto"/>
        <w:rPr>
          <w:i/>
          <w:iCs/>
        </w:rPr>
      </w:pPr>
    </w:p>
    <w:p w14:paraId="23C8460A" w14:textId="2A9B0C4E" w:rsidR="006E0FED" w:rsidRDefault="006E0FED" w:rsidP="001050DD">
      <w:pPr>
        <w:spacing w:after="0" w:line="240" w:lineRule="auto"/>
      </w:pPr>
      <w:r w:rsidRPr="00F94C2F">
        <w:lastRenderedPageBreak/>
        <w:t>Hazardous events</w:t>
      </w:r>
      <w:r w:rsidRPr="007F037E">
        <w:t xml:space="preserve"> might have more than one type of </w:t>
      </w:r>
      <w:r w:rsidRPr="00F94C2F">
        <w:t>consequence</w:t>
      </w:r>
      <w:r w:rsidRPr="007F037E">
        <w:t xml:space="preserve">. </w:t>
      </w:r>
      <w:r w:rsidR="004E3C5E" w:rsidRPr="007F037E">
        <w:t>Therefore,</w:t>
      </w:r>
      <w:r w:rsidRPr="007F037E">
        <w:t xml:space="preserve"> they might affect more than one of </w:t>
      </w:r>
      <w:r w:rsidR="004E3C5E">
        <w:t xml:space="preserve">the Service’s </w:t>
      </w:r>
      <w:r w:rsidRPr="00F94C2F">
        <w:t>objectives</w:t>
      </w:r>
      <w:r>
        <w:t xml:space="preserve"> determined in the </w:t>
      </w:r>
      <w:r w:rsidR="004E3C5E" w:rsidRPr="004E3C5E">
        <w:rPr>
          <w:b/>
          <w:bCs/>
          <w:highlight w:val="yellow"/>
        </w:rPr>
        <w:t>CRMP Scope</w:t>
      </w:r>
      <w:r w:rsidR="002104E0">
        <w:rPr>
          <w:b/>
          <w:bCs/>
        </w:rPr>
        <w:t>.</w:t>
      </w:r>
    </w:p>
    <w:p w14:paraId="0EB68538" w14:textId="77777777" w:rsidR="001050DD" w:rsidRPr="007F037E" w:rsidRDefault="001050DD" w:rsidP="001050DD">
      <w:pPr>
        <w:spacing w:after="0" w:line="240" w:lineRule="auto"/>
      </w:pPr>
    </w:p>
    <w:p w14:paraId="52644093" w14:textId="2653F061" w:rsidR="002A65DE" w:rsidRDefault="006E0FED" w:rsidP="0046695D">
      <w:pPr>
        <w:spacing w:after="0" w:line="240" w:lineRule="auto"/>
      </w:pPr>
      <w:r w:rsidRPr="007F037E">
        <w:t xml:space="preserve">Creating a list of </w:t>
      </w:r>
      <w:r w:rsidRPr="00B67D77">
        <w:t>hazardous events</w:t>
      </w:r>
      <w:r w:rsidRPr="007F037E">
        <w:t xml:space="preserve"> that is expressed in terms of </w:t>
      </w:r>
      <w:r>
        <w:t>‘</w:t>
      </w:r>
      <w:r w:rsidRPr="00B67D77">
        <w:t>events’</w:t>
      </w:r>
      <w:r w:rsidRPr="007F037E">
        <w:t xml:space="preserve"> helps later when determining </w:t>
      </w:r>
      <w:r w:rsidRPr="00B67D77">
        <w:t>control</w:t>
      </w:r>
      <w:r w:rsidRPr="007F037E">
        <w:t xml:space="preserve"> and resource requirements.</w:t>
      </w:r>
      <w:r w:rsidR="007A0335">
        <w:t xml:space="preserve"> </w:t>
      </w:r>
      <w:r w:rsidR="0048288B">
        <w:t xml:space="preserve">One of the outputs of the </w:t>
      </w:r>
      <w:proofErr w:type="spellStart"/>
      <w:r w:rsidR="0048288B">
        <w:t>DoR</w:t>
      </w:r>
      <w:proofErr w:type="spellEnd"/>
      <w:r w:rsidR="0048288B">
        <w:t xml:space="preserve"> </w:t>
      </w:r>
      <w:r w:rsidR="0046695D">
        <w:t xml:space="preserve">Project was a Hazard Identification model developed by Cleveland Fire and Rescue that </w:t>
      </w:r>
      <w:r w:rsidR="00741F0F">
        <w:t xml:space="preserve">maps </w:t>
      </w:r>
      <w:r w:rsidR="00590DB8">
        <w:t>potential</w:t>
      </w:r>
      <w:r w:rsidR="0046695D">
        <w:t xml:space="preserve"> </w:t>
      </w:r>
      <w:r w:rsidR="0046695D" w:rsidRPr="00A37C20">
        <w:t>sources</w:t>
      </w:r>
      <w:r w:rsidR="009131DD" w:rsidRPr="00A37C20">
        <w:t xml:space="preserve"> of harm to</w:t>
      </w:r>
      <w:r w:rsidR="009845D9">
        <w:t xml:space="preserve"> potential</w:t>
      </w:r>
      <w:r w:rsidR="009131DD" w:rsidRPr="00A37C20">
        <w:t xml:space="preserve"> </w:t>
      </w:r>
      <w:r w:rsidR="003630E0" w:rsidRPr="00A37C20">
        <w:t>hazardous</w:t>
      </w:r>
      <w:r w:rsidR="009131DD" w:rsidRPr="00A37C20">
        <w:t xml:space="preserve"> </w:t>
      </w:r>
      <w:r w:rsidR="00A37C20" w:rsidRPr="00A37C20">
        <w:t>events</w:t>
      </w:r>
      <w:r w:rsidR="003000DB">
        <w:t xml:space="preserve">. </w:t>
      </w:r>
      <w:r w:rsidR="00871457">
        <w:t>Here</w:t>
      </w:r>
      <w:r w:rsidR="00AB2FAA">
        <w:t>,</w:t>
      </w:r>
      <w:r w:rsidR="00871457">
        <w:t xml:space="preserve"> </w:t>
      </w:r>
      <w:commentRangeStart w:id="12"/>
      <w:r w:rsidR="00AB2FAA">
        <w:t>there is also</w:t>
      </w:r>
      <w:r w:rsidR="00871457">
        <w:t xml:space="preserve"> foreseeable/emerging </w:t>
      </w:r>
      <w:r w:rsidR="00A467EA">
        <w:t xml:space="preserve">hazards </w:t>
      </w:r>
      <w:r w:rsidR="00AB2FAA">
        <w:t xml:space="preserve">included </w:t>
      </w:r>
      <w:r w:rsidR="00B81AAE">
        <w:t xml:space="preserve">that </w:t>
      </w:r>
      <w:r w:rsidR="006D129E">
        <w:t>can impact on</w:t>
      </w:r>
      <w:r w:rsidR="00B81AAE">
        <w:t xml:space="preserve"> community risk: </w:t>
      </w:r>
      <w:commentRangeEnd w:id="12"/>
      <w:r w:rsidR="00894382">
        <w:rPr>
          <w:rStyle w:val="CommentReference"/>
        </w:rPr>
        <w:commentReference w:id="12"/>
      </w:r>
    </w:p>
    <w:p w14:paraId="214787E1" w14:textId="77777777" w:rsidR="001050DD" w:rsidRPr="00A37C20" w:rsidRDefault="001050DD" w:rsidP="001050DD">
      <w:pPr>
        <w:tabs>
          <w:tab w:val="left" w:pos="1117"/>
        </w:tabs>
        <w:spacing w:after="0" w:line="240" w:lineRule="auto"/>
      </w:pPr>
    </w:p>
    <w:tbl>
      <w:tblPr>
        <w:tblW w:w="9350" w:type="dxa"/>
        <w:tblLook w:val="04A0" w:firstRow="1" w:lastRow="0" w:firstColumn="1" w:lastColumn="0" w:noHBand="0" w:noVBand="1"/>
      </w:tblPr>
      <w:tblGrid>
        <w:gridCol w:w="1736"/>
        <w:gridCol w:w="3807"/>
        <w:gridCol w:w="3807"/>
      </w:tblGrid>
      <w:tr w:rsidR="00A37C20" w:rsidRPr="00A37C20" w14:paraId="262AAA3D" w14:textId="77777777" w:rsidTr="00624481">
        <w:trPr>
          <w:trHeight w:val="300"/>
        </w:trPr>
        <w:tc>
          <w:tcPr>
            <w:tcW w:w="173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0B8B129" w14:textId="77777777" w:rsidR="00A37C20" w:rsidRPr="00A37C20" w:rsidRDefault="00A37C20" w:rsidP="001050DD">
            <w:pPr>
              <w:spacing w:after="0" w:line="240" w:lineRule="auto"/>
              <w:rPr>
                <w:rFonts w:ascii="Calibri" w:eastAsia="Times New Roman" w:hAnsi="Calibri" w:cs="Calibri"/>
                <w:b/>
                <w:bCs/>
                <w:color w:val="000000"/>
                <w:lang w:eastAsia="en-GB"/>
              </w:rPr>
            </w:pPr>
            <w:r w:rsidRPr="00A37C20">
              <w:rPr>
                <w:rFonts w:ascii="Calibri" w:eastAsia="Times New Roman" w:hAnsi="Calibri" w:cs="Calibri"/>
                <w:b/>
                <w:bCs/>
                <w:color w:val="000000"/>
                <w:lang w:eastAsia="en-GB"/>
              </w:rPr>
              <w:t>Identify Hazards (Community)</w:t>
            </w:r>
          </w:p>
        </w:tc>
        <w:tc>
          <w:tcPr>
            <w:tcW w:w="3807"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38714F55" w14:textId="77777777" w:rsidR="00A37C20" w:rsidRPr="00A37C20" w:rsidRDefault="00A37C20" w:rsidP="001050DD">
            <w:pPr>
              <w:spacing w:after="0" w:line="240" w:lineRule="auto"/>
              <w:rPr>
                <w:rFonts w:ascii="Calibri" w:eastAsia="Times New Roman" w:hAnsi="Calibri" w:cs="Calibri"/>
                <w:b/>
                <w:bCs/>
                <w:i/>
                <w:iCs/>
                <w:color w:val="000000"/>
                <w:lang w:eastAsia="en-GB"/>
              </w:rPr>
            </w:pPr>
            <w:r w:rsidRPr="00A37C20">
              <w:rPr>
                <w:rFonts w:ascii="Calibri" w:eastAsia="Times New Roman" w:hAnsi="Calibri" w:cs="Calibri"/>
                <w:b/>
                <w:bCs/>
                <w:i/>
                <w:iCs/>
                <w:color w:val="000000"/>
                <w:lang w:eastAsia="en-GB"/>
              </w:rPr>
              <w:t xml:space="preserve">Examples </w:t>
            </w:r>
          </w:p>
        </w:tc>
        <w:tc>
          <w:tcPr>
            <w:tcW w:w="380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DFD36C2" w14:textId="77777777" w:rsidR="00A37C20" w:rsidRPr="00A37C20" w:rsidRDefault="00A37C20" w:rsidP="001050DD">
            <w:pPr>
              <w:spacing w:after="0" w:line="240" w:lineRule="auto"/>
              <w:rPr>
                <w:rFonts w:ascii="Calibri" w:eastAsia="Times New Roman" w:hAnsi="Calibri" w:cs="Calibri"/>
                <w:b/>
                <w:bCs/>
                <w:i/>
                <w:iCs/>
                <w:color w:val="000000"/>
                <w:lang w:eastAsia="en-GB"/>
              </w:rPr>
            </w:pPr>
            <w:r w:rsidRPr="00A37C20">
              <w:rPr>
                <w:rFonts w:ascii="Calibri" w:eastAsia="Times New Roman" w:hAnsi="Calibri" w:cs="Calibri"/>
                <w:b/>
                <w:bCs/>
                <w:i/>
                <w:iCs/>
                <w:color w:val="000000"/>
                <w:lang w:eastAsia="en-GB"/>
              </w:rPr>
              <w:t xml:space="preserve">Hazardous Event </w:t>
            </w:r>
          </w:p>
        </w:tc>
      </w:tr>
      <w:tr w:rsidR="00A37C20" w:rsidRPr="00A37C20" w14:paraId="7C48854B" w14:textId="77777777" w:rsidTr="00624481">
        <w:trPr>
          <w:trHeight w:val="300"/>
        </w:trPr>
        <w:tc>
          <w:tcPr>
            <w:tcW w:w="1736"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4DD1A014" w14:textId="77777777" w:rsidR="00A37C20" w:rsidRPr="00A37C20" w:rsidRDefault="00A37C20" w:rsidP="001050DD">
            <w:pPr>
              <w:spacing w:after="0" w:line="240" w:lineRule="auto"/>
              <w:jc w:val="center"/>
              <w:rPr>
                <w:rFonts w:ascii="Calibri" w:eastAsia="Times New Roman" w:hAnsi="Calibri" w:cs="Calibri"/>
                <w:color w:val="000000"/>
                <w:lang w:eastAsia="en-GB"/>
              </w:rPr>
            </w:pPr>
            <w:r w:rsidRPr="00A37C20">
              <w:rPr>
                <w:rFonts w:ascii="Calibri" w:eastAsia="Times New Roman" w:hAnsi="Calibri" w:cs="Calibri"/>
                <w:color w:val="000000"/>
                <w:lang w:eastAsia="en-GB"/>
              </w:rPr>
              <w:t>Structures</w:t>
            </w: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7DF708C3"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Domestic Residential Building</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09181774"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Building fire</w:t>
            </w:r>
          </w:p>
        </w:tc>
      </w:tr>
      <w:tr w:rsidR="00A37C20" w:rsidRPr="00A37C20" w14:paraId="717CD750"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052E8B61"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65A5C8E6"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Other Buildings</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24191665"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Building fire</w:t>
            </w:r>
          </w:p>
        </w:tc>
      </w:tr>
      <w:tr w:rsidR="00A37C20" w:rsidRPr="00A37C20" w14:paraId="39DE284D"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5D5D01DC"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541D410B"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Utility Sites</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015520F6"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Fire</w:t>
            </w:r>
          </w:p>
        </w:tc>
      </w:tr>
      <w:tr w:rsidR="00A37C20" w:rsidRPr="00A37C20" w14:paraId="7FD6783E"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1ABCEEE3"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5D254265"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Underground Tunnels</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797104EA"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Collapse</w:t>
            </w:r>
          </w:p>
        </w:tc>
      </w:tr>
      <w:tr w:rsidR="00A37C20" w:rsidRPr="00A37C20" w14:paraId="19FD493F"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61CFF0CF"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01563302"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Licenses waste sites</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62EF863A"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Waste Site Fire</w:t>
            </w:r>
          </w:p>
        </w:tc>
      </w:tr>
      <w:tr w:rsidR="00A37C20" w:rsidRPr="00A37C20" w14:paraId="4128D963" w14:textId="77777777" w:rsidTr="00624481">
        <w:trPr>
          <w:trHeight w:val="300"/>
        </w:trPr>
        <w:tc>
          <w:tcPr>
            <w:tcW w:w="1736"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24EFC397" w14:textId="77777777" w:rsidR="00A37C20" w:rsidRPr="00A37C20" w:rsidRDefault="00A37C20" w:rsidP="001050DD">
            <w:pPr>
              <w:spacing w:after="0" w:line="240" w:lineRule="auto"/>
              <w:jc w:val="center"/>
              <w:rPr>
                <w:rFonts w:ascii="Calibri" w:eastAsia="Times New Roman" w:hAnsi="Calibri" w:cs="Calibri"/>
                <w:color w:val="000000"/>
                <w:lang w:eastAsia="en-GB"/>
              </w:rPr>
            </w:pPr>
            <w:r w:rsidRPr="00A37C20">
              <w:rPr>
                <w:rFonts w:ascii="Calibri" w:eastAsia="Times New Roman" w:hAnsi="Calibri" w:cs="Calibri"/>
                <w:color w:val="000000"/>
                <w:lang w:eastAsia="en-GB"/>
              </w:rPr>
              <w:t>Transport</w:t>
            </w:r>
          </w:p>
        </w:tc>
        <w:tc>
          <w:tcPr>
            <w:tcW w:w="3807"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1D2F3932"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Road</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37B1F5A0"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Road Traffic Collisions</w:t>
            </w:r>
          </w:p>
        </w:tc>
      </w:tr>
      <w:tr w:rsidR="00A37C20" w:rsidRPr="00A37C20" w14:paraId="09CB3020"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572871C5"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45A1855B"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6085D863"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Vehicle Fires</w:t>
            </w:r>
          </w:p>
        </w:tc>
      </w:tr>
      <w:tr w:rsidR="00A37C20" w:rsidRPr="00A37C20" w14:paraId="6CB111D5"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5301ED27"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0BF3CD7C"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Rail</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231EB922"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Rail Collisions</w:t>
            </w:r>
          </w:p>
        </w:tc>
      </w:tr>
      <w:tr w:rsidR="00A37C20" w:rsidRPr="00A37C20" w14:paraId="4790AA6E"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60061954"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65069C95"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49B1DDA4"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Rail Fires</w:t>
            </w:r>
          </w:p>
        </w:tc>
      </w:tr>
      <w:tr w:rsidR="00A37C20" w:rsidRPr="00A37C20" w14:paraId="2D37AE04"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13E70D3D"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21F39762"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Air</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19034340"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Air Traffic Accident</w:t>
            </w:r>
          </w:p>
        </w:tc>
      </w:tr>
      <w:tr w:rsidR="00A37C20" w:rsidRPr="00A37C20" w14:paraId="301B2611"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4C1B9908"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59CAAFFB"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Marine</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4FCE157C"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Water Rescue</w:t>
            </w:r>
          </w:p>
        </w:tc>
      </w:tr>
      <w:tr w:rsidR="00A37C20" w:rsidRPr="00A37C20" w14:paraId="29A9A13F"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1C9022DC"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60960CBD"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77739F0D"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Vessel Fires</w:t>
            </w:r>
          </w:p>
        </w:tc>
      </w:tr>
      <w:tr w:rsidR="00A37C20" w:rsidRPr="00A37C20" w14:paraId="361E0E4A" w14:textId="77777777" w:rsidTr="00624481">
        <w:trPr>
          <w:trHeight w:val="300"/>
        </w:trPr>
        <w:tc>
          <w:tcPr>
            <w:tcW w:w="1736"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6B9BBA89" w14:textId="77777777" w:rsidR="00A37C20" w:rsidRPr="00A37C20" w:rsidRDefault="00A37C20" w:rsidP="001050DD">
            <w:pPr>
              <w:spacing w:after="0" w:line="240" w:lineRule="auto"/>
              <w:jc w:val="center"/>
              <w:rPr>
                <w:rFonts w:ascii="Calibri" w:eastAsia="Times New Roman" w:hAnsi="Calibri" w:cs="Calibri"/>
                <w:color w:val="000000"/>
                <w:lang w:eastAsia="en-GB"/>
              </w:rPr>
            </w:pPr>
            <w:r w:rsidRPr="00A37C20">
              <w:rPr>
                <w:rFonts w:ascii="Calibri" w:eastAsia="Times New Roman" w:hAnsi="Calibri" w:cs="Calibri"/>
                <w:color w:val="000000"/>
                <w:lang w:eastAsia="en-GB"/>
              </w:rPr>
              <w:t>Industrial</w:t>
            </w:r>
          </w:p>
        </w:tc>
        <w:tc>
          <w:tcPr>
            <w:tcW w:w="3807"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50501301" w14:textId="77777777" w:rsidR="00A37C20" w:rsidRPr="00A37C20" w:rsidRDefault="00A37C20" w:rsidP="001050DD">
            <w:pPr>
              <w:spacing w:after="0" w:line="240" w:lineRule="auto"/>
              <w:rPr>
                <w:rFonts w:ascii="Calibri" w:eastAsia="Times New Roman" w:hAnsi="Calibri" w:cs="Calibri"/>
                <w:color w:val="000000"/>
                <w:lang w:eastAsia="en-GB"/>
              </w:rPr>
            </w:pPr>
            <w:proofErr w:type="spellStart"/>
            <w:r w:rsidRPr="00A37C20">
              <w:rPr>
                <w:rFonts w:ascii="Calibri" w:eastAsia="Times New Roman" w:hAnsi="Calibri" w:cs="Calibri"/>
                <w:color w:val="000000"/>
                <w:lang w:eastAsia="en-GB"/>
              </w:rPr>
              <w:t>HazMats</w:t>
            </w:r>
            <w:proofErr w:type="spellEnd"/>
            <w:r w:rsidRPr="00A37C20">
              <w:rPr>
                <w:rFonts w:ascii="Calibri" w:eastAsia="Times New Roman" w:hAnsi="Calibri" w:cs="Calibri"/>
                <w:color w:val="000000"/>
                <w:lang w:eastAsia="en-GB"/>
              </w:rPr>
              <w:t xml:space="preserve"> Sites</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2AF5E34F"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 xml:space="preserve">Fire involving </w:t>
            </w:r>
            <w:proofErr w:type="spellStart"/>
            <w:r w:rsidRPr="00A37C20">
              <w:rPr>
                <w:rFonts w:ascii="Calibri" w:eastAsia="Times New Roman" w:hAnsi="Calibri" w:cs="Calibri"/>
                <w:color w:val="000000"/>
                <w:lang w:eastAsia="en-GB"/>
              </w:rPr>
              <w:t>HazMats</w:t>
            </w:r>
            <w:proofErr w:type="spellEnd"/>
          </w:p>
        </w:tc>
      </w:tr>
      <w:tr w:rsidR="00A37C20" w:rsidRPr="00A37C20" w14:paraId="5D5F9902"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3A16F663"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1DF71513"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2AF03CF7"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Explosion</w:t>
            </w:r>
          </w:p>
        </w:tc>
      </w:tr>
      <w:tr w:rsidR="00A37C20" w:rsidRPr="00A37C20" w14:paraId="4B0D906B"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377DD44B"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714610AB"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27FA5EA4"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Release Leak/Spillage</w:t>
            </w:r>
          </w:p>
        </w:tc>
      </w:tr>
      <w:tr w:rsidR="00A37C20" w:rsidRPr="00A37C20" w14:paraId="7E780F4A"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626A46B7"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2227BF43"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Hazardous Transport</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69E12C94"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Road Traffic Collisions</w:t>
            </w:r>
          </w:p>
        </w:tc>
      </w:tr>
      <w:tr w:rsidR="00A37C20" w:rsidRPr="00A37C20" w14:paraId="5932AE96"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5EEF8ECE"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274657AB"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509E0500"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Vehicle Fires</w:t>
            </w:r>
          </w:p>
        </w:tc>
      </w:tr>
      <w:tr w:rsidR="00A37C20" w:rsidRPr="00A37C20" w14:paraId="0F3859D4"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08608551"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79E71936"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31BF33F0"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Product spillage</w:t>
            </w:r>
          </w:p>
        </w:tc>
      </w:tr>
      <w:tr w:rsidR="00A37C20" w:rsidRPr="00A37C20" w14:paraId="04360E25" w14:textId="77777777" w:rsidTr="00624481">
        <w:trPr>
          <w:trHeight w:val="300"/>
        </w:trPr>
        <w:tc>
          <w:tcPr>
            <w:tcW w:w="1736"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7FDAD31B" w14:textId="77777777" w:rsidR="00A37C20" w:rsidRPr="00A37C20" w:rsidRDefault="00A37C20" w:rsidP="001050DD">
            <w:pPr>
              <w:spacing w:after="0" w:line="240" w:lineRule="auto"/>
              <w:jc w:val="center"/>
              <w:rPr>
                <w:rFonts w:ascii="Calibri" w:eastAsia="Times New Roman" w:hAnsi="Calibri" w:cs="Calibri"/>
                <w:color w:val="000000"/>
                <w:lang w:eastAsia="en-GB"/>
              </w:rPr>
            </w:pPr>
            <w:r w:rsidRPr="00A37C20">
              <w:rPr>
                <w:rFonts w:ascii="Calibri" w:eastAsia="Times New Roman" w:hAnsi="Calibri" w:cs="Calibri"/>
                <w:color w:val="000000"/>
                <w:lang w:eastAsia="en-GB"/>
              </w:rPr>
              <w:t xml:space="preserve">Environmental </w:t>
            </w: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08E1C2C0"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Wildfire</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57F8F0AD"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Wildfire</w:t>
            </w:r>
          </w:p>
        </w:tc>
      </w:tr>
      <w:tr w:rsidR="00A37C20" w:rsidRPr="00A37C20" w14:paraId="0F4AD6E2"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28C94722"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4CBAA4D7"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Waterways</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2F529C81"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Flooding Inland / Coast</w:t>
            </w:r>
          </w:p>
        </w:tc>
      </w:tr>
      <w:tr w:rsidR="00A37C20" w:rsidRPr="00A37C20" w14:paraId="78E45FD4"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452263A8"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53560FC7"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 </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27A826C7"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Water Rescue</w:t>
            </w:r>
          </w:p>
        </w:tc>
      </w:tr>
      <w:tr w:rsidR="00A37C20" w:rsidRPr="00A37C20" w14:paraId="1D01B1B4" w14:textId="77777777" w:rsidTr="00624481">
        <w:trPr>
          <w:trHeight w:val="300"/>
        </w:trPr>
        <w:tc>
          <w:tcPr>
            <w:tcW w:w="1736" w:type="dxa"/>
            <w:vMerge w:val="restart"/>
            <w:tcBorders>
              <w:top w:val="nil"/>
              <w:left w:val="single" w:sz="4" w:space="0" w:color="auto"/>
              <w:bottom w:val="single" w:sz="4" w:space="0" w:color="000000"/>
              <w:right w:val="single" w:sz="4" w:space="0" w:color="auto"/>
            </w:tcBorders>
            <w:shd w:val="clear" w:color="auto" w:fill="D9E2F3" w:themeFill="accent1" w:themeFillTint="33"/>
            <w:noWrap/>
            <w:vAlign w:val="center"/>
            <w:hideMark/>
          </w:tcPr>
          <w:p w14:paraId="6C3D496A" w14:textId="77777777" w:rsidR="00A37C20" w:rsidRPr="00A37C20" w:rsidRDefault="00A37C20" w:rsidP="001050DD">
            <w:pPr>
              <w:spacing w:after="0" w:line="240" w:lineRule="auto"/>
              <w:jc w:val="center"/>
              <w:rPr>
                <w:rFonts w:ascii="Calibri" w:eastAsia="Times New Roman" w:hAnsi="Calibri" w:cs="Calibri"/>
                <w:color w:val="000000"/>
                <w:lang w:eastAsia="en-GB"/>
              </w:rPr>
            </w:pPr>
            <w:r w:rsidRPr="00A37C20">
              <w:rPr>
                <w:rFonts w:ascii="Calibri" w:eastAsia="Times New Roman" w:hAnsi="Calibri" w:cs="Calibri"/>
                <w:color w:val="000000"/>
                <w:lang w:eastAsia="en-GB"/>
              </w:rPr>
              <w:t>Terrorism</w:t>
            </w: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06365C06"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Marauding Terrorist Attack (MTA)</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6E751709"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Marauding Terrorist Attack (MTA)</w:t>
            </w:r>
          </w:p>
        </w:tc>
      </w:tr>
      <w:tr w:rsidR="00A37C20" w:rsidRPr="00A37C20" w14:paraId="334ED450" w14:textId="77777777" w:rsidTr="00624481">
        <w:trPr>
          <w:trHeight w:val="300"/>
        </w:trPr>
        <w:tc>
          <w:tcPr>
            <w:tcW w:w="1736" w:type="dxa"/>
            <w:vMerge/>
            <w:tcBorders>
              <w:top w:val="nil"/>
              <w:left w:val="single" w:sz="4" w:space="0" w:color="auto"/>
              <w:bottom w:val="single" w:sz="4" w:space="0" w:color="000000"/>
              <w:right w:val="single" w:sz="4" w:space="0" w:color="auto"/>
            </w:tcBorders>
            <w:shd w:val="clear" w:color="auto" w:fill="D9E2F3" w:themeFill="accent1" w:themeFillTint="33"/>
            <w:vAlign w:val="center"/>
            <w:hideMark/>
          </w:tcPr>
          <w:p w14:paraId="650AFC90" w14:textId="77777777" w:rsidR="00A37C20" w:rsidRPr="00A37C20" w:rsidRDefault="00A37C20"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D9E2F3" w:themeFill="accent1" w:themeFillTint="33"/>
            <w:noWrap/>
            <w:vAlign w:val="center"/>
            <w:hideMark/>
          </w:tcPr>
          <w:p w14:paraId="718806A9"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 xml:space="preserve">Chemical, biological, </w:t>
            </w:r>
            <w:proofErr w:type="gramStart"/>
            <w:r w:rsidRPr="00A37C20">
              <w:rPr>
                <w:rFonts w:ascii="Calibri" w:eastAsia="Times New Roman" w:hAnsi="Calibri" w:cs="Calibri"/>
                <w:color w:val="000000"/>
                <w:lang w:eastAsia="en-GB"/>
              </w:rPr>
              <w:t>radiological</w:t>
            </w:r>
            <w:proofErr w:type="gramEnd"/>
            <w:r w:rsidRPr="00A37C20">
              <w:rPr>
                <w:rFonts w:ascii="Calibri" w:eastAsia="Times New Roman" w:hAnsi="Calibri" w:cs="Calibri"/>
                <w:color w:val="000000"/>
                <w:lang w:eastAsia="en-GB"/>
              </w:rPr>
              <w:t xml:space="preserve"> or nuclear (CBRN)</w:t>
            </w:r>
            <w:r w:rsidRPr="00A37C20">
              <w:rPr>
                <w:rFonts w:ascii="Arial" w:eastAsia="Times New Roman" w:hAnsi="Arial" w:cs="Arial"/>
                <w:color w:val="4D5156"/>
                <w:sz w:val="21"/>
                <w:szCs w:val="21"/>
                <w:lang w:eastAsia="en-GB"/>
              </w:rPr>
              <w:t> </w:t>
            </w:r>
          </w:p>
        </w:tc>
        <w:tc>
          <w:tcPr>
            <w:tcW w:w="3807" w:type="dxa"/>
            <w:tcBorders>
              <w:top w:val="nil"/>
              <w:left w:val="nil"/>
              <w:bottom w:val="single" w:sz="4" w:space="0" w:color="auto"/>
              <w:right w:val="single" w:sz="4" w:space="0" w:color="auto"/>
            </w:tcBorders>
            <w:shd w:val="clear" w:color="auto" w:fill="E2EFD9" w:themeFill="accent6" w:themeFillTint="33"/>
            <w:noWrap/>
            <w:vAlign w:val="center"/>
            <w:hideMark/>
          </w:tcPr>
          <w:p w14:paraId="0A74863F" w14:textId="77777777" w:rsidR="00A37C20" w:rsidRPr="00A37C20" w:rsidRDefault="00A37C20" w:rsidP="001050DD">
            <w:pPr>
              <w:spacing w:after="0" w:line="240" w:lineRule="auto"/>
              <w:rPr>
                <w:rFonts w:ascii="Calibri" w:eastAsia="Times New Roman" w:hAnsi="Calibri" w:cs="Calibri"/>
                <w:color w:val="000000"/>
                <w:lang w:eastAsia="en-GB"/>
              </w:rPr>
            </w:pPr>
            <w:r w:rsidRPr="00A37C20">
              <w:rPr>
                <w:rFonts w:ascii="Calibri" w:eastAsia="Times New Roman" w:hAnsi="Calibri" w:cs="Calibri"/>
                <w:color w:val="000000"/>
                <w:lang w:eastAsia="en-GB"/>
              </w:rPr>
              <w:t xml:space="preserve">Chemical, biological, </w:t>
            </w:r>
            <w:proofErr w:type="gramStart"/>
            <w:r w:rsidRPr="00A37C20">
              <w:rPr>
                <w:rFonts w:ascii="Calibri" w:eastAsia="Times New Roman" w:hAnsi="Calibri" w:cs="Calibri"/>
                <w:color w:val="000000"/>
                <w:lang w:eastAsia="en-GB"/>
              </w:rPr>
              <w:t>radiological</w:t>
            </w:r>
            <w:proofErr w:type="gramEnd"/>
            <w:r w:rsidRPr="00A37C20">
              <w:rPr>
                <w:rFonts w:ascii="Calibri" w:eastAsia="Times New Roman" w:hAnsi="Calibri" w:cs="Calibri"/>
                <w:color w:val="000000"/>
                <w:lang w:eastAsia="en-GB"/>
              </w:rPr>
              <w:t xml:space="preserve"> or nuclear (CBRN)</w:t>
            </w:r>
            <w:r w:rsidRPr="00A37C20">
              <w:rPr>
                <w:rFonts w:ascii="Arial" w:eastAsia="Times New Roman" w:hAnsi="Arial" w:cs="Arial"/>
                <w:color w:val="4D5156"/>
                <w:sz w:val="21"/>
                <w:szCs w:val="21"/>
                <w:lang w:eastAsia="en-GB"/>
              </w:rPr>
              <w:t> </w:t>
            </w:r>
          </w:p>
        </w:tc>
      </w:tr>
      <w:tr w:rsidR="00AB2FAA" w:rsidRPr="00A37C20" w14:paraId="0EEE776A" w14:textId="77777777" w:rsidTr="00624481">
        <w:trPr>
          <w:trHeight w:val="300"/>
        </w:trPr>
        <w:tc>
          <w:tcPr>
            <w:tcW w:w="1736" w:type="dxa"/>
            <w:vMerge w:val="restart"/>
            <w:tcBorders>
              <w:top w:val="nil"/>
              <w:left w:val="single" w:sz="4" w:space="0" w:color="auto"/>
              <w:right w:val="single" w:sz="4" w:space="0" w:color="auto"/>
            </w:tcBorders>
            <w:shd w:val="clear" w:color="auto" w:fill="D9E2F3" w:themeFill="accent1" w:themeFillTint="33"/>
            <w:noWrap/>
            <w:vAlign w:val="center"/>
          </w:tcPr>
          <w:p w14:paraId="17B43A2E" w14:textId="1D46EA71" w:rsidR="00AB2FAA" w:rsidRPr="00A467EA" w:rsidRDefault="00AB2FAA" w:rsidP="00A467EA">
            <w:pPr>
              <w:spacing w:after="0" w:line="240" w:lineRule="auto"/>
              <w:jc w:val="center"/>
              <w:rPr>
                <w:rFonts w:ascii="Calibri" w:eastAsia="Times New Roman" w:hAnsi="Calibri" w:cs="Calibri"/>
                <w:color w:val="000000"/>
                <w:lang w:eastAsia="en-GB"/>
              </w:rPr>
            </w:pPr>
            <w:r w:rsidRPr="00A467EA">
              <w:rPr>
                <w:rFonts w:ascii="Calibri" w:eastAsia="Times New Roman" w:hAnsi="Calibri" w:cs="Calibri"/>
                <w:color w:val="000000"/>
                <w:lang w:eastAsia="en-GB"/>
              </w:rPr>
              <w:t>Emerging / foreseeable</w:t>
            </w:r>
          </w:p>
        </w:tc>
        <w:tc>
          <w:tcPr>
            <w:tcW w:w="3807" w:type="dxa"/>
            <w:vMerge w:val="restart"/>
            <w:tcBorders>
              <w:top w:val="nil"/>
              <w:left w:val="nil"/>
              <w:right w:val="single" w:sz="4" w:space="0" w:color="auto"/>
            </w:tcBorders>
            <w:shd w:val="clear" w:color="auto" w:fill="D9E2F3" w:themeFill="accent1" w:themeFillTint="33"/>
            <w:noWrap/>
            <w:vAlign w:val="center"/>
          </w:tcPr>
          <w:p w14:paraId="7828BE44" w14:textId="477A766C" w:rsidR="00AB2FAA" w:rsidRPr="00A37C20" w:rsidRDefault="00AB2FAA" w:rsidP="001050D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Climate Change</w:t>
            </w:r>
          </w:p>
        </w:tc>
        <w:tc>
          <w:tcPr>
            <w:tcW w:w="3807" w:type="dxa"/>
            <w:tcBorders>
              <w:top w:val="nil"/>
              <w:left w:val="nil"/>
              <w:bottom w:val="single" w:sz="4" w:space="0" w:color="auto"/>
              <w:right w:val="single" w:sz="4" w:space="0" w:color="auto"/>
            </w:tcBorders>
            <w:shd w:val="clear" w:color="auto" w:fill="E2EFD9" w:themeFill="accent6" w:themeFillTint="33"/>
            <w:noWrap/>
            <w:vAlign w:val="center"/>
          </w:tcPr>
          <w:p w14:paraId="4E182273" w14:textId="34001DCA" w:rsidR="00AB2FAA" w:rsidRPr="00A37C20" w:rsidRDefault="00AB2FAA" w:rsidP="001050D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Flooding inland / Coast</w:t>
            </w:r>
          </w:p>
        </w:tc>
      </w:tr>
      <w:tr w:rsidR="00AB2FAA" w:rsidRPr="00A37C20" w14:paraId="27D69E6D" w14:textId="77777777" w:rsidTr="00624481">
        <w:trPr>
          <w:trHeight w:val="300"/>
        </w:trPr>
        <w:tc>
          <w:tcPr>
            <w:tcW w:w="1736" w:type="dxa"/>
            <w:vMerge/>
            <w:tcBorders>
              <w:left w:val="single" w:sz="4" w:space="0" w:color="auto"/>
              <w:bottom w:val="single" w:sz="4" w:space="0" w:color="auto"/>
              <w:right w:val="single" w:sz="4" w:space="0" w:color="auto"/>
            </w:tcBorders>
            <w:shd w:val="clear" w:color="auto" w:fill="D9E2F3" w:themeFill="accent1" w:themeFillTint="33"/>
            <w:noWrap/>
            <w:vAlign w:val="center"/>
          </w:tcPr>
          <w:p w14:paraId="4318AE2C" w14:textId="77777777" w:rsidR="00AB2FAA" w:rsidRPr="00A467EA" w:rsidRDefault="00AB2FAA" w:rsidP="00A467EA">
            <w:pPr>
              <w:spacing w:after="0" w:line="240" w:lineRule="auto"/>
              <w:jc w:val="center"/>
              <w:rPr>
                <w:rFonts w:ascii="Calibri" w:eastAsia="Times New Roman" w:hAnsi="Calibri" w:cs="Calibri"/>
                <w:color w:val="000000"/>
                <w:lang w:eastAsia="en-GB"/>
              </w:rPr>
            </w:pPr>
          </w:p>
        </w:tc>
        <w:tc>
          <w:tcPr>
            <w:tcW w:w="3807" w:type="dxa"/>
            <w:vMerge/>
            <w:tcBorders>
              <w:left w:val="nil"/>
              <w:bottom w:val="single" w:sz="4" w:space="0" w:color="auto"/>
              <w:right w:val="single" w:sz="4" w:space="0" w:color="auto"/>
            </w:tcBorders>
            <w:shd w:val="clear" w:color="auto" w:fill="D9E2F3" w:themeFill="accent1" w:themeFillTint="33"/>
            <w:noWrap/>
            <w:vAlign w:val="center"/>
          </w:tcPr>
          <w:p w14:paraId="24DE94B8" w14:textId="77777777" w:rsidR="00AB2FAA" w:rsidRDefault="00AB2FAA" w:rsidP="001050DD">
            <w:pPr>
              <w:spacing w:after="0" w:line="240" w:lineRule="auto"/>
              <w:rPr>
                <w:rFonts w:ascii="Calibri" w:eastAsia="Times New Roman" w:hAnsi="Calibri" w:cs="Calibri"/>
                <w:color w:val="000000"/>
                <w:lang w:eastAsia="en-GB"/>
              </w:rPr>
            </w:pPr>
          </w:p>
        </w:tc>
        <w:tc>
          <w:tcPr>
            <w:tcW w:w="3807" w:type="dxa"/>
            <w:tcBorders>
              <w:top w:val="nil"/>
              <w:left w:val="nil"/>
              <w:bottom w:val="single" w:sz="4" w:space="0" w:color="auto"/>
              <w:right w:val="single" w:sz="4" w:space="0" w:color="auto"/>
            </w:tcBorders>
            <w:shd w:val="clear" w:color="auto" w:fill="E2EFD9" w:themeFill="accent6" w:themeFillTint="33"/>
            <w:noWrap/>
            <w:vAlign w:val="center"/>
          </w:tcPr>
          <w:p w14:paraId="09FC1C4E" w14:textId="63078546" w:rsidR="00AB2FAA" w:rsidRPr="00A37C20" w:rsidRDefault="00AB2FAA" w:rsidP="001050D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Heatwaves / wildfires</w:t>
            </w:r>
          </w:p>
        </w:tc>
      </w:tr>
    </w:tbl>
    <w:p w14:paraId="47E70EB5" w14:textId="77777777" w:rsidR="00FC7188" w:rsidRDefault="00FC7188" w:rsidP="001050DD">
      <w:pPr>
        <w:spacing w:after="0" w:line="240" w:lineRule="auto"/>
      </w:pPr>
    </w:p>
    <w:p w14:paraId="0759E6CF" w14:textId="0CF3F571" w:rsidR="00975809" w:rsidRDefault="00B67D77" w:rsidP="001050DD">
      <w:pPr>
        <w:spacing w:after="0" w:line="240" w:lineRule="auto"/>
      </w:pPr>
      <w:r>
        <w:t>T</w:t>
      </w:r>
      <w:r w:rsidR="00975809">
        <w:t xml:space="preserve">here might be some activities </w:t>
      </w:r>
      <w:r w:rsidR="00EA4A18">
        <w:t>the</w:t>
      </w:r>
      <w:r w:rsidR="00763F2D">
        <w:t xml:space="preserve"> Fire</w:t>
      </w:r>
      <w:r w:rsidR="00975809">
        <w:t xml:space="preserve"> Service carries out that do not arise from these themes, for example a community activity that has an ‘upstream’ link with fire causation. These might have the potential to meet broader social objectives and could be seen as being an ‘</w:t>
      </w:r>
      <w:r w:rsidR="00975809" w:rsidRPr="00B5246C">
        <w:t>opportunity’</w:t>
      </w:r>
      <w:r w:rsidR="00975809">
        <w:t xml:space="preserve">. </w:t>
      </w:r>
      <w:r w:rsidR="00EA4A18">
        <w:t>Therefore,</w:t>
      </w:r>
      <w:r w:rsidR="00975809">
        <w:t xml:space="preserve"> they should be identified within </w:t>
      </w:r>
      <w:r w:rsidR="00975809" w:rsidRPr="00B5246C">
        <w:t>hazard identification</w:t>
      </w:r>
      <w:r w:rsidR="00975809">
        <w:t>.</w:t>
      </w:r>
      <w:r w:rsidR="009D6AF6">
        <w:t xml:space="preserve"> </w:t>
      </w:r>
    </w:p>
    <w:p w14:paraId="0A14D1B9" w14:textId="77777777" w:rsidR="001050DD" w:rsidRDefault="001050DD" w:rsidP="001050DD">
      <w:pPr>
        <w:spacing w:after="0" w:line="240" w:lineRule="auto"/>
      </w:pPr>
    </w:p>
    <w:p w14:paraId="375CF9C5" w14:textId="3B3651CA" w:rsidR="00975809" w:rsidRDefault="00975809" w:rsidP="001050DD">
      <w:pPr>
        <w:spacing w:after="0" w:line="240" w:lineRule="auto"/>
      </w:pPr>
      <w:r>
        <w:t xml:space="preserve">Although identifying community </w:t>
      </w:r>
      <w:r w:rsidRPr="00B5246C">
        <w:t>risk</w:t>
      </w:r>
      <w:r>
        <w:t xml:space="preserve"> should be comprehensive (and therefore consider all significant </w:t>
      </w:r>
      <w:r w:rsidRPr="00B5246C">
        <w:t>causes</w:t>
      </w:r>
      <w:r>
        <w:t xml:space="preserve"> and </w:t>
      </w:r>
      <w:r w:rsidRPr="00B5246C">
        <w:t>consequences</w:t>
      </w:r>
      <w:r>
        <w:t xml:space="preserve">) it does not have to describe every possible outcome of every stage of every possible sequence of </w:t>
      </w:r>
      <w:r w:rsidRPr="00B5246C">
        <w:t>cause</w:t>
      </w:r>
      <w:r>
        <w:t xml:space="preserve"> and effect. Its purpose is to identify sufficient </w:t>
      </w:r>
      <w:r w:rsidRPr="001D262F">
        <w:t>hazardous events</w:t>
      </w:r>
      <w:r>
        <w:t xml:space="preserve"> to characterise the </w:t>
      </w:r>
      <w:r w:rsidRPr="001D262F">
        <w:t>risk</w:t>
      </w:r>
      <w:r>
        <w:t xml:space="preserve"> so that there is a reliable basis for </w:t>
      </w:r>
      <w:r w:rsidR="001D262F" w:rsidRPr="0097735F">
        <w:rPr>
          <w:b/>
          <w:bCs/>
          <w:highlight w:val="yellow"/>
        </w:rPr>
        <w:t>Risk Analysis</w:t>
      </w:r>
      <w:r w:rsidR="00D55A70">
        <w:rPr>
          <w:b/>
          <w:bCs/>
        </w:rPr>
        <w:t>.</w:t>
      </w:r>
      <w:r w:rsidR="001D262F">
        <w:t xml:space="preserve"> </w:t>
      </w:r>
    </w:p>
    <w:p w14:paraId="20741F9A" w14:textId="77777777" w:rsidR="00EA4A18" w:rsidRDefault="00EA4A18" w:rsidP="001050DD">
      <w:pPr>
        <w:spacing w:after="0" w:line="240" w:lineRule="auto"/>
      </w:pPr>
    </w:p>
    <w:p w14:paraId="2D730995" w14:textId="1776476A" w:rsidR="004A3C60" w:rsidRDefault="00975809" w:rsidP="004A3C60">
      <w:pPr>
        <w:tabs>
          <w:tab w:val="left" w:pos="1117"/>
        </w:tabs>
        <w:spacing w:after="0" w:line="240" w:lineRule="auto"/>
        <w:rPr>
          <w:b/>
          <w:bCs/>
        </w:rPr>
      </w:pPr>
      <w:r>
        <w:lastRenderedPageBreak/>
        <w:t>It is important to obtain input from a diverse range of sources. Seeking a variety of views, including the views of external stakeholders as well as colleagues, and those in neighbouring</w:t>
      </w:r>
      <w:r w:rsidR="00763F2D">
        <w:t xml:space="preserve"> Fire</w:t>
      </w:r>
      <w:r>
        <w:t xml:space="preserve"> Services, will help avoid group think or tunnel vision. It also might provide further understanding of </w:t>
      </w:r>
      <w:r w:rsidR="004A3C60" w:rsidRPr="00562655">
        <w:t>risk</w:t>
      </w:r>
      <w:r w:rsidR="004A3C60">
        <w:t xml:space="preserve"> and</w:t>
      </w:r>
      <w:r>
        <w:t xml:space="preserve"> overcome any misconceptions.</w:t>
      </w:r>
      <w:r w:rsidR="004A3C60">
        <w:t xml:space="preserve"> See the </w:t>
      </w:r>
      <w:r w:rsidR="004A3C60" w:rsidRPr="00A51A0D">
        <w:rPr>
          <w:b/>
          <w:bCs/>
          <w:highlight w:val="yellow"/>
        </w:rPr>
        <w:t xml:space="preserve">Community Risk – Stakeholder and Public Engagement </w:t>
      </w:r>
      <w:r w:rsidR="004A3C60" w:rsidRPr="004A3C60">
        <w:rPr>
          <w:b/>
          <w:bCs/>
          <w:highlight w:val="yellow"/>
        </w:rPr>
        <w:t>guidance.</w:t>
      </w:r>
      <w:r w:rsidR="003612FF">
        <w:rPr>
          <w:b/>
          <w:bCs/>
        </w:rPr>
        <w:t xml:space="preserve"> </w:t>
      </w:r>
      <w:r w:rsidR="00B17A6D">
        <w:t xml:space="preserve">Closely related to </w:t>
      </w:r>
      <w:r w:rsidR="003612FF" w:rsidRPr="00B17A6D">
        <w:t xml:space="preserve">stakeholder and public engagement </w:t>
      </w:r>
      <w:r w:rsidR="00813022" w:rsidRPr="00B17A6D">
        <w:t>is</w:t>
      </w:r>
      <w:r w:rsidR="00B17A6D">
        <w:t xml:space="preserve"> the need to</w:t>
      </w:r>
      <w:r w:rsidR="00813022" w:rsidRPr="00B17A6D">
        <w:t xml:space="preserve"> undertak</w:t>
      </w:r>
      <w:r w:rsidR="00B17A6D">
        <w:t>e</w:t>
      </w:r>
      <w:r w:rsidR="00813022" w:rsidRPr="00B17A6D">
        <w:t xml:space="preserve"> a proper Equality Impact Assessment</w:t>
      </w:r>
      <w:r w:rsidR="00B17A6D">
        <w:t>,</w:t>
      </w:r>
      <w:r w:rsidR="00813022" w:rsidRPr="00B17A6D">
        <w:t xml:space="preserve"> in order to </w:t>
      </w:r>
      <w:r w:rsidR="00B17A6D" w:rsidRPr="00B17A6D">
        <w:t>en</w:t>
      </w:r>
      <w:r w:rsidR="00813022" w:rsidRPr="00B17A6D">
        <w:t xml:space="preserve">sure </w:t>
      </w:r>
      <w:r w:rsidR="00B17A6D" w:rsidRPr="00B17A6D">
        <w:t>inclusivity for all communities, service users, and employees who share the characteristics protected by the Equality Act 2010.</w:t>
      </w:r>
      <w:r w:rsidR="004F3D98">
        <w:t xml:space="preserve"> As o</w:t>
      </w:r>
      <w:r w:rsidR="004F3D98" w:rsidRPr="004F3D98">
        <w:t xml:space="preserve">ne of the key themes featured within the CRMP Strategic Framework </w:t>
      </w:r>
      <w:r w:rsidR="004F3D98">
        <w:t xml:space="preserve">this </w:t>
      </w:r>
      <w:r w:rsidR="004F3D98" w:rsidRPr="004F3D98">
        <w:t>Equality / People Impact Assessment/s (</w:t>
      </w:r>
      <w:proofErr w:type="spellStart"/>
      <w:r w:rsidR="004F3D98" w:rsidRPr="004F3D98">
        <w:t>EqIA</w:t>
      </w:r>
      <w:proofErr w:type="spellEnd"/>
      <w:r w:rsidR="004F3D98" w:rsidRPr="004F3D98">
        <w:t xml:space="preserve">) </w:t>
      </w:r>
      <w:r w:rsidR="004F3D98">
        <w:t xml:space="preserve">should be considered at each stage in order </w:t>
      </w:r>
      <w:r w:rsidR="00D43CDA">
        <w:t>to ensure that each component of the</w:t>
      </w:r>
      <w:r w:rsidR="007716E4">
        <w:t xml:space="preserve"> process</w:t>
      </w:r>
      <w:r w:rsidR="00D43CDA">
        <w:t xml:space="preserve"> </w:t>
      </w:r>
      <w:r w:rsidR="007716E4" w:rsidRPr="007716E4">
        <w:t>is being supported by the broadest range of evidence and intelligence available</w:t>
      </w:r>
      <w:r w:rsidR="007716E4">
        <w:t xml:space="preserve"> (</w:t>
      </w:r>
      <w:r w:rsidR="00853FF9" w:rsidRPr="00F757C3">
        <w:rPr>
          <w:b/>
          <w:bCs/>
          <w:highlight w:val="yellow"/>
        </w:rPr>
        <w:t>Community Risk - Equality Impact Assessment</w:t>
      </w:r>
      <w:r w:rsidR="00853FF9">
        <w:t>)</w:t>
      </w:r>
      <w:r w:rsidR="007716E4">
        <w:t xml:space="preserve">. </w:t>
      </w:r>
    </w:p>
    <w:p w14:paraId="4066823C" w14:textId="7F76D59D" w:rsidR="00080D42" w:rsidRDefault="00080D42" w:rsidP="001050DD">
      <w:pPr>
        <w:spacing w:after="0" w:line="240" w:lineRule="auto"/>
      </w:pPr>
    </w:p>
    <w:p w14:paraId="2F472E79" w14:textId="77777777" w:rsidR="001050DD" w:rsidRPr="000A25D6" w:rsidRDefault="001050DD" w:rsidP="001050DD">
      <w:pPr>
        <w:spacing w:after="0" w:line="240" w:lineRule="auto"/>
      </w:pPr>
    </w:p>
    <w:p w14:paraId="2F5BE15F" w14:textId="391464FB" w:rsidR="00080D42" w:rsidRDefault="00080D42" w:rsidP="001050DD">
      <w:pPr>
        <w:spacing w:after="0" w:line="240" w:lineRule="auto"/>
        <w:rPr>
          <w:b/>
          <w:bCs/>
          <w:color w:val="FF0000"/>
          <w:sz w:val="44"/>
          <w:szCs w:val="44"/>
        </w:rPr>
      </w:pPr>
      <w:r w:rsidRPr="00080D42">
        <w:rPr>
          <w:b/>
          <w:bCs/>
          <w:color w:val="FF0000"/>
          <w:sz w:val="44"/>
          <w:szCs w:val="44"/>
        </w:rPr>
        <w:t>Risk Groups</w:t>
      </w:r>
    </w:p>
    <w:p w14:paraId="5E72C04E" w14:textId="77777777" w:rsidR="001050DD" w:rsidRDefault="001050DD" w:rsidP="001050DD">
      <w:pPr>
        <w:spacing w:after="0" w:line="240" w:lineRule="auto"/>
        <w:rPr>
          <w:b/>
          <w:bCs/>
          <w:color w:val="FF0000"/>
          <w:sz w:val="44"/>
          <w:szCs w:val="44"/>
        </w:rPr>
      </w:pPr>
    </w:p>
    <w:p w14:paraId="787A3FC2" w14:textId="58CEAA4D" w:rsidR="0077246C" w:rsidRDefault="0077246C" w:rsidP="001050DD">
      <w:pPr>
        <w:tabs>
          <w:tab w:val="left" w:pos="1117"/>
        </w:tabs>
        <w:spacing w:after="0" w:line="240" w:lineRule="auto"/>
        <w:rPr>
          <w:i/>
          <w:iCs/>
        </w:rPr>
      </w:pPr>
      <w:r w:rsidRPr="00E85985">
        <w:rPr>
          <w:b/>
          <w:bCs/>
          <w:i/>
          <w:iCs/>
        </w:rPr>
        <w:t>Who or what</w:t>
      </w:r>
      <w:r w:rsidRPr="00E85985">
        <w:rPr>
          <w:i/>
          <w:iCs/>
        </w:rPr>
        <w:t xml:space="preserve"> within the community is at risk of coming to harm?</w:t>
      </w:r>
    </w:p>
    <w:p w14:paraId="0B683DB8" w14:textId="77777777" w:rsidR="001050DD" w:rsidRPr="00E85985" w:rsidRDefault="001050DD" w:rsidP="001050DD">
      <w:pPr>
        <w:tabs>
          <w:tab w:val="left" w:pos="1117"/>
        </w:tabs>
        <w:spacing w:after="0" w:line="240" w:lineRule="auto"/>
      </w:pPr>
    </w:p>
    <w:p w14:paraId="3A3729C0" w14:textId="4DCDFCF6" w:rsidR="005D25AB" w:rsidRDefault="00364AC7" w:rsidP="001050DD">
      <w:pPr>
        <w:spacing w:after="0" w:line="240" w:lineRule="auto"/>
      </w:pPr>
      <w:r>
        <w:t xml:space="preserve">Risk groups are relevant throughout the assessment, defined as the people or assets that could be harmed by hazards. They should be defined by the scope and objectives of the study, as they are the people and assets that the FRS aims to protect. </w:t>
      </w:r>
      <w:r w:rsidR="00482633">
        <w:t xml:space="preserve">The </w:t>
      </w:r>
      <w:commentRangeStart w:id="13"/>
      <w:commentRangeStart w:id="14"/>
      <w:r w:rsidR="00482633">
        <w:t xml:space="preserve">NFCC Protection team </w:t>
      </w:r>
      <w:commentRangeEnd w:id="13"/>
      <w:r w:rsidR="003A58EA">
        <w:rPr>
          <w:rStyle w:val="CommentReference"/>
        </w:rPr>
        <w:commentReference w:id="13"/>
      </w:r>
      <w:commentRangeEnd w:id="14"/>
      <w:r>
        <w:rPr>
          <w:rStyle w:val="CommentReference"/>
        </w:rPr>
        <w:commentReference w:id="14"/>
      </w:r>
      <w:r w:rsidR="00482633">
        <w:t xml:space="preserve">have grouped </w:t>
      </w:r>
      <w:r w:rsidR="009E0FC8">
        <w:t xml:space="preserve">risk groups into </w:t>
      </w:r>
      <w:r w:rsidR="005D25AB" w:rsidRPr="00E85985">
        <w:t>the six categories</w:t>
      </w:r>
      <w:r w:rsidR="00D71528" w:rsidRPr="00E85985">
        <w:t>, which</w:t>
      </w:r>
      <w:r w:rsidR="005D25AB" w:rsidRPr="00E85985">
        <w:t xml:space="preserve"> </w:t>
      </w:r>
      <w:r w:rsidR="00D71528" w:rsidRPr="00E85985">
        <w:t xml:space="preserve">require </w:t>
      </w:r>
      <w:r w:rsidR="005D25AB" w:rsidRPr="00E85985">
        <w:t>a different primary intervention, or a range of intervention</w:t>
      </w:r>
      <w:r w:rsidR="78ACD54B" w:rsidRPr="00E85985">
        <w:t>s</w:t>
      </w:r>
      <w:commentRangeStart w:id="15"/>
      <w:commentRangeStart w:id="16"/>
      <w:r w:rsidR="005D25AB" w:rsidRPr="00E85985">
        <w:t xml:space="preserve"> </w:t>
      </w:r>
      <w:commentRangeEnd w:id="15"/>
      <w:r w:rsidR="005D25AB">
        <w:rPr>
          <w:rStyle w:val="CommentReference"/>
        </w:rPr>
        <w:commentReference w:id="15"/>
      </w:r>
      <w:commentRangeEnd w:id="16"/>
      <w:r w:rsidR="008D73F9">
        <w:rPr>
          <w:rStyle w:val="CommentReference"/>
        </w:rPr>
        <w:commentReference w:id="16"/>
      </w:r>
      <w:r w:rsidR="005D25AB" w:rsidRPr="00E85985">
        <w:t>by the Fire Service to support the reduction of risk</w:t>
      </w:r>
      <w:r w:rsidR="009E0FC8">
        <w:t>.</w:t>
      </w:r>
      <w:r w:rsidR="005D25AB" w:rsidRPr="00E85985">
        <w:t xml:space="preserve"> </w:t>
      </w:r>
    </w:p>
    <w:p w14:paraId="10181230" w14:textId="77777777" w:rsidR="00502516" w:rsidRDefault="00502516" w:rsidP="001050DD">
      <w:pPr>
        <w:spacing w:after="0" w:line="240" w:lineRule="auto"/>
      </w:pPr>
    </w:p>
    <w:p w14:paraId="44CCDAA5" w14:textId="2C98496D" w:rsidR="00340D2F" w:rsidRDefault="00340D2F" w:rsidP="001050DD">
      <w:pPr>
        <w:spacing w:after="0" w:line="240" w:lineRule="auto"/>
      </w:pPr>
      <w:r>
        <w:t xml:space="preserve">The </w:t>
      </w:r>
      <w:r w:rsidR="00847C4B" w:rsidRPr="00847C4B">
        <w:rPr>
          <w:b/>
          <w:bCs/>
          <w:highlight w:val="yellow"/>
        </w:rPr>
        <w:t>R</w:t>
      </w:r>
      <w:r w:rsidRPr="00847C4B">
        <w:rPr>
          <w:b/>
          <w:bCs/>
          <w:highlight w:val="yellow"/>
        </w:rPr>
        <w:t xml:space="preserve">isk </w:t>
      </w:r>
      <w:r w:rsidR="00847C4B" w:rsidRPr="00847C4B">
        <w:rPr>
          <w:b/>
          <w:bCs/>
          <w:highlight w:val="yellow"/>
        </w:rPr>
        <w:t>A</w:t>
      </w:r>
      <w:r w:rsidRPr="00847C4B">
        <w:rPr>
          <w:b/>
          <w:bCs/>
          <w:highlight w:val="yellow"/>
        </w:rPr>
        <w:t>nalysis</w:t>
      </w:r>
      <w:r>
        <w:t xml:space="preserve"> should consider the likelihood and consequence of hazardous events on each group and combine them to form risk metrics appropriate for each. There may be </w:t>
      </w:r>
      <w:r w:rsidR="004B6429">
        <w:t xml:space="preserve">separate </w:t>
      </w:r>
      <w:r>
        <w:t>risk criteria for each group.</w:t>
      </w:r>
    </w:p>
    <w:p w14:paraId="7571C40C" w14:textId="77777777" w:rsidR="00340D2F" w:rsidRPr="00E85985" w:rsidRDefault="00340D2F" w:rsidP="001050DD">
      <w:pPr>
        <w:spacing w:after="0" w:line="240" w:lineRule="auto"/>
      </w:pPr>
    </w:p>
    <w:p w14:paraId="4368F543" w14:textId="71896C7D" w:rsidR="00292D99" w:rsidRDefault="00292D99" w:rsidP="001050DD">
      <w:pPr>
        <w:spacing w:after="0" w:line="240" w:lineRule="auto"/>
        <w:rPr>
          <w:b/>
          <w:bCs/>
          <w:u w:val="single"/>
        </w:rPr>
      </w:pPr>
      <w:commentRangeStart w:id="17"/>
      <w:commentRangeStart w:id="18"/>
      <w:r w:rsidRPr="00D001C1">
        <w:rPr>
          <w:b/>
          <w:bCs/>
          <w:u w:val="single"/>
        </w:rPr>
        <w:t xml:space="preserve">Risk Groups </w:t>
      </w:r>
      <w:commentRangeEnd w:id="17"/>
      <w:r w:rsidRPr="00D001C1">
        <w:rPr>
          <w:rStyle w:val="CommentReference"/>
          <w:b/>
          <w:bCs/>
          <w:sz w:val="22"/>
          <w:szCs w:val="22"/>
          <w:u w:val="single"/>
        </w:rPr>
        <w:commentReference w:id="17"/>
      </w:r>
      <w:commentRangeEnd w:id="18"/>
      <w:r w:rsidR="00F524EE">
        <w:rPr>
          <w:rStyle w:val="CommentReference"/>
        </w:rPr>
        <w:commentReference w:id="18"/>
      </w:r>
    </w:p>
    <w:p w14:paraId="77B42C1F" w14:textId="77777777" w:rsidR="00502516" w:rsidRDefault="00502516" w:rsidP="00502516">
      <w:pPr>
        <w:spacing w:after="0" w:line="240" w:lineRule="auto"/>
      </w:pPr>
    </w:p>
    <w:p w14:paraId="462B1E10" w14:textId="67FF2D38" w:rsidR="00873ECA" w:rsidRDefault="00502516" w:rsidP="00502516">
      <w:pPr>
        <w:spacing w:after="0" w:line="240" w:lineRule="auto"/>
      </w:pPr>
      <w:r>
        <w:t xml:space="preserve">Risk groups are sets of people or assets that are exposed to the risk and might be harmed. The risk groups that are relevant in community risks include: </w:t>
      </w:r>
      <w:r w:rsidR="00873ECA">
        <w:t xml:space="preserve"> The </w:t>
      </w:r>
      <w:proofErr w:type="spellStart"/>
      <w:r w:rsidR="009D783E">
        <w:t>DoR</w:t>
      </w:r>
      <w:proofErr w:type="spellEnd"/>
      <w:r w:rsidR="009D783E">
        <w:t xml:space="preserve"> project defined </w:t>
      </w:r>
      <w:r w:rsidR="008804D5">
        <w:t xml:space="preserve">six </w:t>
      </w:r>
      <w:r w:rsidR="009D783E">
        <w:t xml:space="preserve">risk </w:t>
      </w:r>
      <w:r w:rsidR="00EF635E">
        <w:t xml:space="preserve">groups relevant to community risk, with an additional </w:t>
      </w:r>
      <w:r w:rsidR="008804D5">
        <w:t>two groups under operational risk:</w:t>
      </w:r>
    </w:p>
    <w:p w14:paraId="71412BAC" w14:textId="77777777" w:rsidR="008804D5" w:rsidRDefault="008804D5" w:rsidP="00502516">
      <w:pPr>
        <w:spacing w:after="0" w:line="240" w:lineRule="auto"/>
      </w:pPr>
    </w:p>
    <w:p w14:paraId="5ABEC066" w14:textId="57C2C8E0" w:rsidR="00502516" w:rsidRPr="00873ECA" w:rsidRDefault="00502516" w:rsidP="00F64345">
      <w:pPr>
        <w:pStyle w:val="ListParagraph"/>
        <w:numPr>
          <w:ilvl w:val="0"/>
          <w:numId w:val="16"/>
        </w:numPr>
        <w:rPr>
          <w:sz w:val="22"/>
          <w:szCs w:val="22"/>
        </w:rPr>
      </w:pPr>
      <w:r w:rsidRPr="00873ECA">
        <w:rPr>
          <w:sz w:val="22"/>
          <w:szCs w:val="22"/>
        </w:rPr>
        <w:t xml:space="preserve">People, </w:t>
      </w:r>
      <w:proofErr w:type="gramStart"/>
      <w:r w:rsidRPr="00873ECA">
        <w:rPr>
          <w:sz w:val="22"/>
          <w:szCs w:val="22"/>
        </w:rPr>
        <w:t>i.e.</w:t>
      </w:r>
      <w:proofErr w:type="gramEnd"/>
      <w:r w:rsidRPr="00873ECA">
        <w:rPr>
          <w:sz w:val="22"/>
          <w:szCs w:val="22"/>
        </w:rPr>
        <w:t xml:space="preserve"> members of the public. </w:t>
      </w:r>
    </w:p>
    <w:p w14:paraId="78F78ED2" w14:textId="718C7682" w:rsidR="00502516" w:rsidRPr="00873ECA" w:rsidRDefault="00502516" w:rsidP="00F64345">
      <w:pPr>
        <w:pStyle w:val="ListParagraph"/>
        <w:numPr>
          <w:ilvl w:val="0"/>
          <w:numId w:val="16"/>
        </w:numPr>
        <w:rPr>
          <w:sz w:val="22"/>
          <w:szCs w:val="22"/>
        </w:rPr>
      </w:pPr>
      <w:r w:rsidRPr="00873ECA">
        <w:rPr>
          <w:sz w:val="22"/>
          <w:szCs w:val="22"/>
        </w:rPr>
        <w:t xml:space="preserve">Property, including dwellings, commercial property, community assets etc. </w:t>
      </w:r>
    </w:p>
    <w:p w14:paraId="42D61A55" w14:textId="7609FF10" w:rsidR="00502516" w:rsidRPr="00873ECA" w:rsidRDefault="00502516" w:rsidP="00F64345">
      <w:pPr>
        <w:pStyle w:val="ListParagraph"/>
        <w:numPr>
          <w:ilvl w:val="0"/>
          <w:numId w:val="16"/>
        </w:numPr>
        <w:rPr>
          <w:sz w:val="22"/>
          <w:szCs w:val="22"/>
        </w:rPr>
      </w:pPr>
      <w:r w:rsidRPr="00873ECA">
        <w:rPr>
          <w:sz w:val="22"/>
          <w:szCs w:val="22"/>
        </w:rPr>
        <w:t xml:space="preserve">Business, including possible interruption of revenue-generation. </w:t>
      </w:r>
    </w:p>
    <w:p w14:paraId="31CAA398" w14:textId="027E6314" w:rsidR="00502516" w:rsidRPr="00873ECA" w:rsidRDefault="00502516" w:rsidP="00F64345">
      <w:pPr>
        <w:pStyle w:val="ListParagraph"/>
        <w:numPr>
          <w:ilvl w:val="0"/>
          <w:numId w:val="16"/>
        </w:numPr>
        <w:rPr>
          <w:sz w:val="22"/>
          <w:szCs w:val="22"/>
        </w:rPr>
      </w:pPr>
      <w:r w:rsidRPr="00873ECA">
        <w:rPr>
          <w:sz w:val="22"/>
          <w:szCs w:val="22"/>
        </w:rPr>
        <w:t xml:space="preserve">Heritage, including buildings or places of particular historical value. </w:t>
      </w:r>
    </w:p>
    <w:p w14:paraId="0DE7C530" w14:textId="3E0CBBE2" w:rsidR="00502516" w:rsidRPr="00873ECA" w:rsidRDefault="00502516" w:rsidP="00F64345">
      <w:pPr>
        <w:pStyle w:val="ListParagraph"/>
        <w:numPr>
          <w:ilvl w:val="0"/>
          <w:numId w:val="16"/>
        </w:numPr>
        <w:rPr>
          <w:sz w:val="22"/>
          <w:szCs w:val="22"/>
        </w:rPr>
      </w:pPr>
      <w:r w:rsidRPr="00873ECA">
        <w:rPr>
          <w:sz w:val="22"/>
          <w:szCs w:val="22"/>
        </w:rPr>
        <w:t xml:space="preserve">Environment, including physical and ecological aspects of air, </w:t>
      </w:r>
      <w:proofErr w:type="gramStart"/>
      <w:r w:rsidRPr="00873ECA">
        <w:rPr>
          <w:sz w:val="22"/>
          <w:szCs w:val="22"/>
        </w:rPr>
        <w:t>water</w:t>
      </w:r>
      <w:proofErr w:type="gramEnd"/>
      <w:r w:rsidRPr="00873ECA">
        <w:rPr>
          <w:sz w:val="22"/>
          <w:szCs w:val="22"/>
        </w:rPr>
        <w:t xml:space="preserve"> and land.</w:t>
      </w:r>
    </w:p>
    <w:p w14:paraId="560DA3A3" w14:textId="6DFD05B2" w:rsidR="00502516" w:rsidRPr="00873ECA" w:rsidRDefault="00502516" w:rsidP="00F64345">
      <w:pPr>
        <w:pStyle w:val="ListParagraph"/>
        <w:numPr>
          <w:ilvl w:val="0"/>
          <w:numId w:val="16"/>
        </w:numPr>
        <w:rPr>
          <w:sz w:val="22"/>
          <w:szCs w:val="22"/>
        </w:rPr>
      </w:pPr>
      <w:r w:rsidRPr="00873ECA">
        <w:rPr>
          <w:sz w:val="22"/>
          <w:szCs w:val="22"/>
        </w:rPr>
        <w:t xml:space="preserve">Community, including possible social concern, media reaction and community disruption. </w:t>
      </w:r>
    </w:p>
    <w:p w14:paraId="2B741738" w14:textId="77777777" w:rsidR="00EF635E" w:rsidRDefault="00EF635E" w:rsidP="00EF635E"/>
    <w:p w14:paraId="1907B64E" w14:textId="57F1B5E7" w:rsidR="00062A15" w:rsidRPr="00EF635E" w:rsidRDefault="00364AC7" w:rsidP="00EF635E">
      <w:r>
        <w:t>Operational risks involve the following additions to the first two risk groups: Emergency responders and FRS equipment.</w:t>
      </w:r>
      <w:r w:rsidR="00D67613" w:rsidRPr="00EF635E">
        <w:t xml:space="preserve"> </w:t>
      </w:r>
    </w:p>
    <w:p w14:paraId="0FEFA5B1" w14:textId="77777777" w:rsidR="00502516" w:rsidRDefault="00502516" w:rsidP="001050DD">
      <w:pPr>
        <w:spacing w:after="0" w:line="240" w:lineRule="auto"/>
        <w:rPr>
          <w:b/>
          <w:bCs/>
          <w:u w:val="single"/>
        </w:rPr>
      </w:pPr>
    </w:p>
    <w:p w14:paraId="1E3AC8EA" w14:textId="0F241A55" w:rsidR="0093280B" w:rsidRDefault="00B915C3" w:rsidP="001050DD">
      <w:pPr>
        <w:spacing w:after="0" w:line="240" w:lineRule="auto"/>
        <w:rPr>
          <w:b/>
          <w:bCs/>
          <w:u w:val="single"/>
        </w:rPr>
      </w:pPr>
      <w:r>
        <w:rPr>
          <w:b/>
          <w:bCs/>
          <w:noProof/>
          <w:u w:val="single"/>
        </w:rPr>
        <w:lastRenderedPageBreak/>
        <w:drawing>
          <wp:inline distT="0" distB="0" distL="0" distR="0" wp14:anchorId="7712DF34" wp14:editId="012A62EE">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857A2BE" w14:textId="77777777" w:rsidR="0072446E" w:rsidRDefault="0072446E" w:rsidP="001050DD">
      <w:pPr>
        <w:spacing w:after="0" w:line="240" w:lineRule="auto"/>
      </w:pPr>
    </w:p>
    <w:p w14:paraId="37E8F5C6" w14:textId="77777777" w:rsidR="00E703CC" w:rsidRDefault="00E703CC" w:rsidP="0072446E">
      <w:pPr>
        <w:spacing w:after="0" w:line="240" w:lineRule="auto"/>
        <w:rPr>
          <w:b/>
          <w:bCs/>
        </w:rPr>
      </w:pPr>
    </w:p>
    <w:p w14:paraId="55808DB2" w14:textId="1EF14478" w:rsidR="0072446E" w:rsidRDefault="0072446E" w:rsidP="0072446E">
      <w:pPr>
        <w:spacing w:after="0" w:line="240" w:lineRule="auto"/>
        <w:rPr>
          <w:b/>
          <w:bCs/>
        </w:rPr>
      </w:pPr>
      <w:r>
        <w:rPr>
          <w:b/>
          <w:bCs/>
        </w:rPr>
        <w:t xml:space="preserve">See Appendix 1 for examples of </w:t>
      </w:r>
      <w:r w:rsidRPr="001054D1">
        <w:rPr>
          <w:b/>
          <w:bCs/>
        </w:rPr>
        <w:t>Hazard Identification techniques.</w:t>
      </w:r>
    </w:p>
    <w:p w14:paraId="7A0F1B83" w14:textId="6BB30DBE" w:rsidR="00AC08EB" w:rsidRDefault="00AC08EB" w:rsidP="001050DD">
      <w:pPr>
        <w:spacing w:after="0" w:line="240" w:lineRule="auto"/>
        <w:rPr>
          <w:b/>
          <w:bCs/>
        </w:rPr>
      </w:pPr>
    </w:p>
    <w:p w14:paraId="4F23349F" w14:textId="00AE100A" w:rsidR="00565EDF" w:rsidRPr="001050DD" w:rsidRDefault="001050DD" w:rsidP="001050DD">
      <w:pPr>
        <w:spacing w:after="0" w:line="240" w:lineRule="auto"/>
        <w:rPr>
          <w:b/>
          <w:bCs/>
          <w:color w:val="FF0000"/>
          <w:sz w:val="44"/>
          <w:szCs w:val="44"/>
        </w:rPr>
      </w:pPr>
      <w:r w:rsidRPr="001050DD">
        <w:rPr>
          <w:b/>
          <w:bCs/>
          <w:color w:val="FF0000"/>
          <w:sz w:val="44"/>
          <w:szCs w:val="44"/>
        </w:rPr>
        <w:t>Appendix 1</w:t>
      </w:r>
      <w:r w:rsidR="00143199">
        <w:rPr>
          <w:b/>
          <w:bCs/>
          <w:color w:val="FF0000"/>
          <w:sz w:val="44"/>
          <w:szCs w:val="44"/>
        </w:rPr>
        <w:t xml:space="preserve"> – Hazard Identification Techniques</w:t>
      </w:r>
    </w:p>
    <w:p w14:paraId="46B81363" w14:textId="235915E0" w:rsidR="00801E4B" w:rsidRDefault="00801E4B" w:rsidP="001050DD">
      <w:pPr>
        <w:spacing w:after="0" w:line="240" w:lineRule="auto"/>
        <w:rPr>
          <w:b/>
          <w:bCs/>
        </w:rPr>
      </w:pPr>
    </w:p>
    <w:p w14:paraId="0A3BC5B9" w14:textId="32D14D7B" w:rsidR="001050DD" w:rsidRPr="00D92D01" w:rsidRDefault="00D837A4" w:rsidP="001050DD">
      <w:pPr>
        <w:spacing w:after="0" w:line="240" w:lineRule="auto"/>
      </w:pPr>
      <w:r w:rsidRPr="00D92D01">
        <w:t xml:space="preserve">It may be necessary to </w:t>
      </w:r>
      <w:r w:rsidR="00D92D01" w:rsidRPr="00D92D01">
        <w:t>examine external resources in developing an approach to hazard identification.</w:t>
      </w:r>
      <w:r w:rsidR="00D92D01">
        <w:t xml:space="preserve"> Hazard identification is not a new </w:t>
      </w:r>
      <w:r w:rsidR="005332AC">
        <w:t>approach to risk management and a variety of organisations, emergency services, militar</w:t>
      </w:r>
      <w:r w:rsidR="00940B6F">
        <w:t>ies</w:t>
      </w:r>
      <w:r w:rsidR="00EB4D39">
        <w:t>, and government bodies</w:t>
      </w:r>
      <w:r w:rsidR="00940B6F">
        <w:t xml:space="preserve"> have existing approaches and techniques that it may be useful to reflect on in CRM planning. </w:t>
      </w:r>
      <w:r w:rsidR="00102B58">
        <w:t>A selection of such references is contained in this appendix.</w:t>
      </w:r>
    </w:p>
    <w:p w14:paraId="396F65F9" w14:textId="77777777" w:rsidR="00D837A4" w:rsidRPr="001054D1" w:rsidRDefault="00D837A4" w:rsidP="001050DD">
      <w:pPr>
        <w:spacing w:after="0" w:line="240" w:lineRule="auto"/>
        <w:rPr>
          <w:b/>
          <w:bCs/>
        </w:rPr>
      </w:pPr>
    </w:p>
    <w:p w14:paraId="321D0627" w14:textId="77777777" w:rsidR="001050DD" w:rsidRDefault="001050DD" w:rsidP="001050DD">
      <w:pPr>
        <w:spacing w:after="0" w:line="240" w:lineRule="auto"/>
        <w:rPr>
          <w:i/>
          <w:iCs/>
        </w:rPr>
      </w:pPr>
      <w:r>
        <w:rPr>
          <w:i/>
          <w:iCs/>
        </w:rPr>
        <w:t>“</w:t>
      </w:r>
      <w:r w:rsidRPr="001D6697">
        <w:rPr>
          <w:i/>
          <w:iCs/>
        </w:rPr>
        <w:t xml:space="preserve">Whatever techniques are </w:t>
      </w:r>
      <w:proofErr w:type="gramStart"/>
      <w:r w:rsidRPr="001D6697">
        <w:rPr>
          <w:i/>
          <w:iCs/>
        </w:rPr>
        <w:t>used,</w:t>
      </w:r>
      <w:proofErr w:type="gramEnd"/>
      <w:r w:rsidRPr="001D6697">
        <w:rPr>
          <w:i/>
          <w:iCs/>
        </w:rPr>
        <w:t xml:space="preserve"> good hazard identification depends on experience and imagination</w:t>
      </w:r>
      <w:r>
        <w:rPr>
          <w:i/>
          <w:iCs/>
        </w:rPr>
        <w:t>” Ministry of Defence (2018)</w:t>
      </w:r>
    </w:p>
    <w:p w14:paraId="1E81C5A2" w14:textId="77777777" w:rsidR="001050DD" w:rsidRPr="001D6697" w:rsidRDefault="001050DD" w:rsidP="001050DD">
      <w:pPr>
        <w:spacing w:after="0" w:line="240" w:lineRule="auto"/>
        <w:rPr>
          <w:i/>
          <w:iCs/>
        </w:rPr>
      </w:pPr>
    </w:p>
    <w:p w14:paraId="7387ABEB" w14:textId="77777777" w:rsidR="001050DD" w:rsidRDefault="001050DD" w:rsidP="001050DD">
      <w:pPr>
        <w:spacing w:after="0" w:line="240" w:lineRule="auto"/>
      </w:pPr>
      <w:r>
        <w:t xml:space="preserve">MOD’s Safety Manager’s Toolkit includes information on several Hazard Identification techniques such as: </w:t>
      </w:r>
    </w:p>
    <w:p w14:paraId="36DB4EEE" w14:textId="77777777" w:rsidR="001050DD" w:rsidRPr="005E5384" w:rsidRDefault="001050DD" w:rsidP="001050DD">
      <w:pPr>
        <w:pStyle w:val="ListParagraph"/>
        <w:numPr>
          <w:ilvl w:val="0"/>
          <w:numId w:val="14"/>
        </w:numPr>
        <w:rPr>
          <w:sz w:val="22"/>
          <w:szCs w:val="22"/>
        </w:rPr>
      </w:pPr>
      <w:r w:rsidRPr="005E5384">
        <w:rPr>
          <w:sz w:val="22"/>
          <w:szCs w:val="22"/>
        </w:rPr>
        <w:t xml:space="preserve">Hazard checklist </w:t>
      </w:r>
    </w:p>
    <w:p w14:paraId="166FE458" w14:textId="77777777" w:rsidR="001050DD" w:rsidRPr="005E5384" w:rsidRDefault="001050DD" w:rsidP="001050DD">
      <w:pPr>
        <w:pStyle w:val="ListParagraph"/>
        <w:numPr>
          <w:ilvl w:val="0"/>
          <w:numId w:val="14"/>
        </w:numPr>
        <w:rPr>
          <w:sz w:val="22"/>
          <w:szCs w:val="22"/>
        </w:rPr>
      </w:pPr>
      <w:proofErr w:type="spellStart"/>
      <w:r w:rsidRPr="005E5384">
        <w:rPr>
          <w:sz w:val="22"/>
          <w:szCs w:val="22"/>
        </w:rPr>
        <w:t>HAZard</w:t>
      </w:r>
      <w:proofErr w:type="spellEnd"/>
      <w:r w:rsidRPr="005E5384">
        <w:rPr>
          <w:sz w:val="22"/>
          <w:szCs w:val="22"/>
        </w:rPr>
        <w:t xml:space="preserve"> and </w:t>
      </w:r>
      <w:proofErr w:type="spellStart"/>
      <w:r w:rsidRPr="005E5384">
        <w:rPr>
          <w:sz w:val="22"/>
          <w:szCs w:val="22"/>
        </w:rPr>
        <w:t>OPerability</w:t>
      </w:r>
      <w:proofErr w:type="spellEnd"/>
      <w:r w:rsidRPr="005E5384">
        <w:rPr>
          <w:sz w:val="22"/>
          <w:szCs w:val="22"/>
        </w:rPr>
        <w:t xml:space="preserve"> Studies (HAZOPS) </w:t>
      </w:r>
    </w:p>
    <w:p w14:paraId="5D97BC50" w14:textId="77777777" w:rsidR="001050DD" w:rsidRPr="005E5384" w:rsidRDefault="001050DD" w:rsidP="001050DD">
      <w:pPr>
        <w:pStyle w:val="ListParagraph"/>
        <w:numPr>
          <w:ilvl w:val="0"/>
          <w:numId w:val="14"/>
        </w:numPr>
        <w:rPr>
          <w:sz w:val="22"/>
          <w:szCs w:val="22"/>
        </w:rPr>
      </w:pPr>
      <w:r w:rsidRPr="005E5384">
        <w:rPr>
          <w:sz w:val="22"/>
          <w:szCs w:val="22"/>
        </w:rPr>
        <w:t xml:space="preserve">Structured What-If Technique (SWIFT) </w:t>
      </w:r>
    </w:p>
    <w:p w14:paraId="212039AF" w14:textId="77777777" w:rsidR="001050DD" w:rsidRPr="005E5384" w:rsidRDefault="001050DD" w:rsidP="001050DD">
      <w:pPr>
        <w:pStyle w:val="ListParagraph"/>
        <w:numPr>
          <w:ilvl w:val="0"/>
          <w:numId w:val="14"/>
        </w:numPr>
        <w:rPr>
          <w:sz w:val="22"/>
          <w:szCs w:val="22"/>
        </w:rPr>
      </w:pPr>
      <w:r w:rsidRPr="005E5384">
        <w:rPr>
          <w:sz w:val="22"/>
          <w:szCs w:val="22"/>
        </w:rPr>
        <w:t>Failure Mode and Effects Analysis (FMEA)</w:t>
      </w:r>
    </w:p>
    <w:p w14:paraId="6C51A246" w14:textId="77777777" w:rsidR="001050DD" w:rsidRDefault="001050DD" w:rsidP="001050DD">
      <w:pPr>
        <w:spacing w:after="0" w:line="240" w:lineRule="auto"/>
      </w:pPr>
    </w:p>
    <w:p w14:paraId="2BA8EA93" w14:textId="77777777" w:rsidR="001050DD" w:rsidRPr="00E85985" w:rsidRDefault="001050DD" w:rsidP="001050DD">
      <w:pPr>
        <w:spacing w:after="0" w:line="240" w:lineRule="auto"/>
        <w:rPr>
          <w:b/>
          <w:bCs/>
        </w:rPr>
      </w:pPr>
    </w:p>
    <w:sectPr w:rsidR="001050DD" w:rsidRPr="00E8598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quita Lamacraft" w:date="2023-01-20T09:50:00Z" w:initials="PL">
    <w:p w14:paraId="55C1B236" w14:textId="3809E6D4" w:rsidR="0883AA46" w:rsidRDefault="0883AA46">
      <w:pPr>
        <w:pStyle w:val="CommentText"/>
      </w:pPr>
      <w:r>
        <w:t>General comment - only provide links within the document where absolutley relevant to expand meaning of whatever the orginal text states.</w:t>
      </w:r>
      <w:r>
        <w:rPr>
          <w:rStyle w:val="CommentReference"/>
        </w:rPr>
        <w:annotationRef/>
      </w:r>
    </w:p>
  </w:comment>
  <w:comment w:id="1" w:author="Jemma Jones" w:date="2023-01-23T11:32:00Z" w:initials="JJ">
    <w:p w14:paraId="6AFC8A01" w14:textId="77777777" w:rsidR="009A3C25" w:rsidRDefault="0021350E" w:rsidP="000C4302">
      <w:pPr>
        <w:pStyle w:val="CommentText"/>
      </w:pPr>
      <w:r>
        <w:rPr>
          <w:rStyle w:val="CommentReference"/>
        </w:rPr>
        <w:annotationRef/>
      </w:r>
      <w:r w:rsidR="009A3C25">
        <w:t>Will remove links throughout</w:t>
      </w:r>
    </w:p>
  </w:comment>
  <w:comment w:id="2" w:author="Paquita Lamacraft" w:date="2023-01-20T11:25:00Z" w:initials="PL">
    <w:p w14:paraId="20418639" w14:textId="77777777" w:rsidR="00920F5E" w:rsidRDefault="00920F5E" w:rsidP="00920F5E">
      <w:r>
        <w:t>First use of the acronym please spell out full title</w:t>
      </w:r>
      <w:r>
        <w:annotationRef/>
      </w:r>
    </w:p>
  </w:comment>
  <w:comment w:id="3" w:author="Jemma Jones" w:date="2023-01-23T17:04:00Z" w:initials="JJ">
    <w:p w14:paraId="0CC701D7" w14:textId="77777777" w:rsidR="00920F5E" w:rsidRDefault="00920F5E" w:rsidP="00920F5E">
      <w:pPr>
        <w:pStyle w:val="CommentText"/>
      </w:pPr>
      <w:r>
        <w:rPr>
          <w:rStyle w:val="CommentReference"/>
        </w:rPr>
        <w:annotationRef/>
      </w:r>
      <w:r>
        <w:t>Done</w:t>
      </w:r>
    </w:p>
  </w:comment>
  <w:comment w:id="5" w:author="Jemma Jones" w:date="2023-01-24T10:54:00Z" w:initials="JJ">
    <w:p w14:paraId="2662EDA4" w14:textId="77777777" w:rsidR="00BC67ED" w:rsidRDefault="00B07D10" w:rsidP="00FC72DE">
      <w:pPr>
        <w:pStyle w:val="CommentText"/>
      </w:pPr>
      <w:r>
        <w:rPr>
          <w:rStyle w:val="CommentReference"/>
        </w:rPr>
        <w:annotationRef/>
      </w:r>
      <w:r w:rsidR="00BC67ED">
        <w:t>Emerging risks are not groups under Community in the HI model. However, I have included here to draw attention to the fact that they need considering as part of the CRMP</w:t>
      </w:r>
    </w:p>
  </w:comment>
  <w:comment w:id="7" w:author="Paquita Lamacraft" w:date="2023-01-20T09:52:00Z" w:initials="PL">
    <w:p w14:paraId="02B62635" w14:textId="2922C076" w:rsidR="0883AA46" w:rsidRDefault="0883AA46">
      <w:pPr>
        <w:pStyle w:val="CommentText"/>
      </w:pPr>
      <w:r>
        <w:t>These are causal and should be shown to be</w:t>
      </w:r>
      <w:r>
        <w:rPr>
          <w:rStyle w:val="CommentReference"/>
        </w:rPr>
        <w:annotationRef/>
      </w:r>
    </w:p>
  </w:comment>
  <w:comment w:id="8" w:author="Jemma Jones" w:date="2023-01-23T11:39:00Z" w:initials="JJ">
    <w:p w14:paraId="26089354" w14:textId="77777777" w:rsidR="00442697" w:rsidRDefault="00442697" w:rsidP="00C12689">
      <w:pPr>
        <w:pStyle w:val="CommentText"/>
      </w:pPr>
      <w:r>
        <w:rPr>
          <w:rStyle w:val="CommentReference"/>
        </w:rPr>
        <w:annotationRef/>
      </w:r>
      <w:r>
        <w:t>Not sure what you think needs changing?</w:t>
      </w:r>
    </w:p>
  </w:comment>
  <w:comment w:id="9" w:author="Alex Hetherington" w:date="2023-01-26T11:49:00Z" w:initials="AH">
    <w:p w14:paraId="4AEC9CE1" w14:textId="77777777" w:rsidR="00B30E3A" w:rsidRDefault="002D49A3" w:rsidP="00F87C82">
      <w:pPr>
        <w:pStyle w:val="CommentText"/>
      </w:pPr>
      <w:r>
        <w:rPr>
          <w:rStyle w:val="CommentReference"/>
        </w:rPr>
        <w:annotationRef/>
      </w:r>
      <w:r w:rsidR="00B30E3A">
        <w:t>Added a sentence below to try and highlight this.</w:t>
      </w:r>
    </w:p>
  </w:comment>
  <w:comment w:id="10" w:author="Paquita Lamacraft" w:date="2023-01-20T09:53:00Z" w:initials="PL">
    <w:p w14:paraId="40B24A2C" w14:textId="6A4E34A0" w:rsidR="0883AA46" w:rsidRDefault="0883AA46">
      <w:pPr>
        <w:pStyle w:val="CommentText"/>
      </w:pPr>
      <w:r>
        <w:t>Reference here to data being historical and there should also be some elements of Horizon Scanning of emerging risks</w:t>
      </w:r>
      <w:r>
        <w:rPr>
          <w:rStyle w:val="CommentReference"/>
        </w:rPr>
        <w:annotationRef/>
      </w:r>
    </w:p>
  </w:comment>
  <w:comment w:id="11" w:author="Jemma Jones" w:date="2023-01-23T11:40:00Z" w:initials="JJ">
    <w:p w14:paraId="784C4631" w14:textId="77777777" w:rsidR="00A501BA" w:rsidRDefault="00A501BA" w:rsidP="00257639">
      <w:pPr>
        <w:pStyle w:val="CommentText"/>
      </w:pPr>
      <w:r>
        <w:rPr>
          <w:rStyle w:val="CommentReference"/>
        </w:rPr>
        <w:annotationRef/>
      </w:r>
      <w:r>
        <w:t>Included bullet point</w:t>
      </w:r>
    </w:p>
  </w:comment>
  <w:comment w:id="12" w:author="Jemma Jones" w:date="2023-01-24T10:25:00Z" w:initials="JJ">
    <w:p w14:paraId="16D2F46C" w14:textId="77777777" w:rsidR="00894382" w:rsidRDefault="00894382" w:rsidP="007F247E">
      <w:pPr>
        <w:pStyle w:val="CommentText"/>
      </w:pPr>
      <w:r>
        <w:rPr>
          <w:rStyle w:val="CommentReference"/>
        </w:rPr>
        <w:annotationRef/>
      </w:r>
      <w:r>
        <w:t xml:space="preserve">I have added the emerging risk - I know this is a national risk but should it be considered at community risk level too? </w:t>
      </w:r>
    </w:p>
  </w:comment>
  <w:comment w:id="13" w:author="Alex Hetherington" w:date="2023-01-26T13:03:00Z" w:initials="AH">
    <w:p w14:paraId="4252B161" w14:textId="77777777" w:rsidR="003A58EA" w:rsidRDefault="003A58EA" w:rsidP="00987B0E">
      <w:pPr>
        <w:pStyle w:val="CommentText"/>
      </w:pPr>
      <w:r>
        <w:rPr>
          <w:rStyle w:val="CommentReference"/>
        </w:rPr>
        <w:annotationRef/>
      </w:r>
      <w:r>
        <w:t xml:space="preserve">Says here the Protection team grouped them into six, but below that DoR grouped them. I'm not 100% sure which is true, and both might be, but I think we need to adjust slightly to clear up to apparent inconsistency. </w:t>
      </w:r>
    </w:p>
  </w:comment>
  <w:comment w:id="14" w:author="Jemma Jones" w:date="2023-01-26T13:11:00Z" w:initials="JJ">
    <w:p w14:paraId="0F8ACA37" w14:textId="1E7B5883" w:rsidR="14A3B832" w:rsidRDefault="14A3B832">
      <w:pPr>
        <w:pStyle w:val="CommentText"/>
      </w:pPr>
      <w:r>
        <w:t>This needs deleting - realised we need to include the risk refined defined by the DoR project -  I want to propose to Chris that his team aligns any other work with these instead.</w:t>
      </w:r>
      <w:r>
        <w:rPr>
          <w:rStyle w:val="CommentReference"/>
        </w:rPr>
        <w:annotationRef/>
      </w:r>
    </w:p>
    <w:p w14:paraId="4A0A6D8B" w14:textId="21596FEB" w:rsidR="14A3B832" w:rsidRDefault="14A3B832">
      <w:pPr>
        <w:pStyle w:val="CommentText"/>
      </w:pPr>
    </w:p>
  </w:comment>
  <w:comment w:id="15" w:author="Paquita Lamacraft" w:date="2023-01-20T10:14:00Z" w:initials="PL">
    <w:p w14:paraId="28A45019" w14:textId="2ECB7D95" w:rsidR="0883AA46" w:rsidRDefault="0883AA46">
      <w:pPr>
        <w:pStyle w:val="CommentText"/>
      </w:pPr>
      <w:r>
        <w:t>remove comma</w:t>
      </w:r>
      <w:r>
        <w:rPr>
          <w:rStyle w:val="CommentReference"/>
        </w:rPr>
        <w:annotationRef/>
      </w:r>
    </w:p>
  </w:comment>
  <w:comment w:id="16" w:author="Jemma Jones" w:date="2023-01-23T13:23:00Z" w:initials="JJ">
    <w:p w14:paraId="74DB7133" w14:textId="77777777" w:rsidR="008D73F9" w:rsidRDefault="008D73F9" w:rsidP="004B2EC5">
      <w:pPr>
        <w:pStyle w:val="CommentText"/>
      </w:pPr>
      <w:r>
        <w:rPr>
          <w:rStyle w:val="CommentReference"/>
        </w:rPr>
        <w:annotationRef/>
      </w:r>
      <w:r>
        <w:t>done</w:t>
      </w:r>
    </w:p>
  </w:comment>
  <w:comment w:id="17" w:author="Paquita Lamacraft" w:date="2023-01-20T10:47:00Z" w:initials="PL">
    <w:p w14:paraId="2325EFC7" w14:textId="3D6E2577" w:rsidR="0883AA46" w:rsidRDefault="0883AA46">
      <w:pPr>
        <w:pStyle w:val="CommentText"/>
      </w:pPr>
      <w:r>
        <w:t>Please be sure to show that these are just FIRE risks. Things like chemical accidents, terrorism, wild fire, and flood do not necessarily fall into these categories</w:t>
      </w:r>
      <w:r>
        <w:rPr>
          <w:rStyle w:val="CommentReference"/>
        </w:rPr>
        <w:annotationRef/>
      </w:r>
    </w:p>
  </w:comment>
  <w:comment w:id="18" w:author="Jemma Jones" w:date="2023-01-23T15:43:00Z" w:initials="JJ">
    <w:p w14:paraId="077A7BF8" w14:textId="77777777" w:rsidR="006B7CA1" w:rsidRDefault="00F524EE" w:rsidP="000572CE">
      <w:pPr>
        <w:pStyle w:val="CommentText"/>
      </w:pPr>
      <w:r>
        <w:rPr>
          <w:rStyle w:val="CommentReference"/>
        </w:rPr>
        <w:annotationRef/>
      </w:r>
      <w:r w:rsidR="006B7CA1">
        <w:t>I think what you are describing are  potential sources of harm  / hazardous events - these are the risk groups (what could be harmed). Hopefully clearer now with the inclusion of the tables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1B236" w15:done="1"/>
  <w15:commentEx w15:paraId="6AFC8A01" w15:paraIdParent="55C1B236" w15:done="1"/>
  <w15:commentEx w15:paraId="20418639" w15:done="1"/>
  <w15:commentEx w15:paraId="0CC701D7" w15:paraIdParent="20418639" w15:done="1"/>
  <w15:commentEx w15:paraId="2662EDA4" w15:done="0"/>
  <w15:commentEx w15:paraId="02B62635" w15:done="0"/>
  <w15:commentEx w15:paraId="26089354" w15:paraIdParent="02B62635" w15:done="0"/>
  <w15:commentEx w15:paraId="4AEC9CE1" w15:paraIdParent="02B62635" w15:done="0"/>
  <w15:commentEx w15:paraId="40B24A2C" w15:done="1"/>
  <w15:commentEx w15:paraId="784C4631" w15:paraIdParent="40B24A2C" w15:done="1"/>
  <w15:commentEx w15:paraId="16D2F46C" w15:done="0"/>
  <w15:commentEx w15:paraId="4252B161" w15:done="0"/>
  <w15:commentEx w15:paraId="4A0A6D8B" w15:paraIdParent="4252B161" w15:done="0"/>
  <w15:commentEx w15:paraId="28A45019" w15:done="1"/>
  <w15:commentEx w15:paraId="74DB7133" w15:paraIdParent="28A45019" w15:done="1"/>
  <w15:commentEx w15:paraId="2325EFC7" w15:done="0"/>
  <w15:commentEx w15:paraId="077A7BF8" w15:paraIdParent="2325EF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5C0E4D" w16cex:dateUtc="2023-01-20T09:50:00Z"/>
  <w16cex:commentExtensible w16cex:durableId="2778EEC5" w16cex:dateUtc="2023-01-23T11:32:00Z"/>
  <w16cex:commentExtensible w16cex:durableId="25DAC28B" w16cex:dateUtc="2023-01-20T11:25:00Z"/>
  <w16cex:commentExtensible w16cex:durableId="27793C97" w16cex:dateUtc="2023-01-23T17:04:00Z"/>
  <w16cex:commentExtensible w16cex:durableId="277A3783" w16cex:dateUtc="2023-01-24T10:54:00Z"/>
  <w16cex:commentExtensible w16cex:durableId="10508A76" w16cex:dateUtc="2023-01-20T09:52:00Z"/>
  <w16cex:commentExtensible w16cex:durableId="2778F081" w16cex:dateUtc="2023-01-23T11:39:00Z"/>
  <w16cex:commentExtensible w16cex:durableId="277CE74A" w16cex:dateUtc="2023-01-26T11:49:00Z"/>
  <w16cex:commentExtensible w16cex:durableId="59EFFBD0" w16cex:dateUtc="2023-01-20T09:53:00Z"/>
  <w16cex:commentExtensible w16cex:durableId="2778F0B9" w16cex:dateUtc="2023-01-23T11:40:00Z"/>
  <w16cex:commentExtensible w16cex:durableId="277A30B4" w16cex:dateUtc="2023-01-24T10:25:00Z"/>
  <w16cex:commentExtensible w16cex:durableId="277CF8A8" w16cex:dateUtc="2023-01-26T13:03:00Z"/>
  <w16cex:commentExtensible w16cex:durableId="5911BB73" w16cex:dateUtc="2023-01-26T13:11:00Z"/>
  <w16cex:commentExtensible w16cex:durableId="22B1F6D9" w16cex:dateUtc="2023-01-20T10:14:00Z"/>
  <w16cex:commentExtensible w16cex:durableId="277908D9" w16cex:dateUtc="2023-01-23T13:23:00Z"/>
  <w16cex:commentExtensible w16cex:durableId="4A6CC482" w16cex:dateUtc="2023-01-20T10:47:00Z"/>
  <w16cex:commentExtensible w16cex:durableId="277929BA" w16cex:dateUtc="2023-01-23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1B236" w16cid:durableId="645C0E4D"/>
  <w16cid:commentId w16cid:paraId="6AFC8A01" w16cid:durableId="2778EEC5"/>
  <w16cid:commentId w16cid:paraId="20418639" w16cid:durableId="25DAC28B"/>
  <w16cid:commentId w16cid:paraId="0CC701D7" w16cid:durableId="27793C97"/>
  <w16cid:commentId w16cid:paraId="2662EDA4" w16cid:durableId="277A3783"/>
  <w16cid:commentId w16cid:paraId="02B62635" w16cid:durableId="10508A76"/>
  <w16cid:commentId w16cid:paraId="26089354" w16cid:durableId="2778F081"/>
  <w16cid:commentId w16cid:paraId="4AEC9CE1" w16cid:durableId="277CE74A"/>
  <w16cid:commentId w16cid:paraId="40B24A2C" w16cid:durableId="59EFFBD0"/>
  <w16cid:commentId w16cid:paraId="784C4631" w16cid:durableId="2778F0B9"/>
  <w16cid:commentId w16cid:paraId="16D2F46C" w16cid:durableId="277A30B4"/>
  <w16cid:commentId w16cid:paraId="4252B161" w16cid:durableId="277CF8A8"/>
  <w16cid:commentId w16cid:paraId="4A0A6D8B" w16cid:durableId="5911BB73"/>
  <w16cid:commentId w16cid:paraId="28A45019" w16cid:durableId="22B1F6D9"/>
  <w16cid:commentId w16cid:paraId="74DB7133" w16cid:durableId="277908D9"/>
  <w16cid:commentId w16cid:paraId="2325EFC7" w16cid:durableId="4A6CC482"/>
  <w16cid:commentId w16cid:paraId="077A7BF8" w16cid:durableId="277929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8101" w14:textId="77777777" w:rsidR="00413F12" w:rsidRDefault="00413F12" w:rsidP="00080D42">
      <w:pPr>
        <w:spacing w:after="0" w:line="240" w:lineRule="auto"/>
      </w:pPr>
      <w:r>
        <w:separator/>
      </w:r>
    </w:p>
  </w:endnote>
  <w:endnote w:type="continuationSeparator" w:id="0">
    <w:p w14:paraId="27EDD40C" w14:textId="77777777" w:rsidR="00413F12" w:rsidRDefault="00413F12" w:rsidP="00080D42">
      <w:pPr>
        <w:spacing w:after="0" w:line="240" w:lineRule="auto"/>
      </w:pPr>
      <w:r>
        <w:continuationSeparator/>
      </w:r>
    </w:p>
  </w:endnote>
  <w:endnote w:type="continuationNotice" w:id="1">
    <w:p w14:paraId="3658C310" w14:textId="77777777" w:rsidR="00413F12" w:rsidRDefault="00413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1CC10" w14:textId="77777777" w:rsidR="00413F12" w:rsidRDefault="00413F12" w:rsidP="00080D42">
      <w:pPr>
        <w:spacing w:after="0" w:line="240" w:lineRule="auto"/>
      </w:pPr>
      <w:r>
        <w:separator/>
      </w:r>
    </w:p>
  </w:footnote>
  <w:footnote w:type="continuationSeparator" w:id="0">
    <w:p w14:paraId="64197877" w14:textId="77777777" w:rsidR="00413F12" w:rsidRDefault="00413F12" w:rsidP="00080D42">
      <w:pPr>
        <w:spacing w:after="0" w:line="240" w:lineRule="auto"/>
      </w:pPr>
      <w:r>
        <w:continuationSeparator/>
      </w:r>
    </w:p>
  </w:footnote>
  <w:footnote w:type="continuationNotice" w:id="1">
    <w:p w14:paraId="746C852D" w14:textId="77777777" w:rsidR="00413F12" w:rsidRDefault="00413F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1A8"/>
    <w:multiLevelType w:val="hybridMultilevel"/>
    <w:tmpl w:val="83FA988E"/>
    <w:lvl w:ilvl="0" w:tplc="861677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D6F4E"/>
    <w:multiLevelType w:val="hybridMultilevel"/>
    <w:tmpl w:val="93B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BC9"/>
    <w:multiLevelType w:val="hybridMultilevel"/>
    <w:tmpl w:val="5E3A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14BA9"/>
    <w:multiLevelType w:val="hybridMultilevel"/>
    <w:tmpl w:val="ADA08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3601E"/>
    <w:multiLevelType w:val="hybridMultilevel"/>
    <w:tmpl w:val="2DFC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F543F"/>
    <w:multiLevelType w:val="hybridMultilevel"/>
    <w:tmpl w:val="7DF8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00DC"/>
    <w:multiLevelType w:val="hybridMultilevel"/>
    <w:tmpl w:val="2B40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F486E"/>
    <w:multiLevelType w:val="hybridMultilevel"/>
    <w:tmpl w:val="2D2AF3CE"/>
    <w:lvl w:ilvl="0" w:tplc="786435A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331F5782"/>
    <w:multiLevelType w:val="hybridMultilevel"/>
    <w:tmpl w:val="ADA08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747BC0"/>
    <w:multiLevelType w:val="hybridMultilevel"/>
    <w:tmpl w:val="1C648F4C"/>
    <w:lvl w:ilvl="0" w:tplc="AE4E6960">
      <w:start w:val="17"/>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1558E9"/>
    <w:multiLevelType w:val="hybridMultilevel"/>
    <w:tmpl w:val="ADA08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F43D8B"/>
    <w:multiLevelType w:val="multilevel"/>
    <w:tmpl w:val="5AA4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9A3A91"/>
    <w:multiLevelType w:val="hybridMultilevel"/>
    <w:tmpl w:val="0A248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873EF6"/>
    <w:multiLevelType w:val="hybridMultilevel"/>
    <w:tmpl w:val="4B1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57364"/>
    <w:multiLevelType w:val="hybridMultilevel"/>
    <w:tmpl w:val="14D0D652"/>
    <w:lvl w:ilvl="0" w:tplc="46DCC1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A084A"/>
    <w:multiLevelType w:val="hybridMultilevel"/>
    <w:tmpl w:val="6FD26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BE57A0"/>
    <w:multiLevelType w:val="hybridMultilevel"/>
    <w:tmpl w:val="C5F82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306F05"/>
    <w:multiLevelType w:val="hybridMultilevel"/>
    <w:tmpl w:val="10389DC8"/>
    <w:lvl w:ilvl="0" w:tplc="46DCC1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7E4"/>
    <w:multiLevelType w:val="hybridMultilevel"/>
    <w:tmpl w:val="E8546196"/>
    <w:lvl w:ilvl="0" w:tplc="46DCC1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786218">
    <w:abstractNumId w:val="0"/>
  </w:num>
  <w:num w:numId="2" w16cid:durableId="1948536593">
    <w:abstractNumId w:val="15"/>
  </w:num>
  <w:num w:numId="3" w16cid:durableId="1059783493">
    <w:abstractNumId w:val="5"/>
  </w:num>
  <w:num w:numId="4" w16cid:durableId="244386860">
    <w:abstractNumId w:val="13"/>
  </w:num>
  <w:num w:numId="5" w16cid:durableId="1753158222">
    <w:abstractNumId w:val="3"/>
  </w:num>
  <w:num w:numId="6" w16cid:durableId="1229531263">
    <w:abstractNumId w:val="11"/>
  </w:num>
  <w:num w:numId="7" w16cid:durableId="521893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3133014">
    <w:abstractNumId w:val="12"/>
  </w:num>
  <w:num w:numId="9" w16cid:durableId="1209025823">
    <w:abstractNumId w:val="9"/>
  </w:num>
  <w:num w:numId="10" w16cid:durableId="667095496">
    <w:abstractNumId w:val="10"/>
  </w:num>
  <w:num w:numId="11" w16cid:durableId="1848399107">
    <w:abstractNumId w:val="8"/>
  </w:num>
  <w:num w:numId="12" w16cid:durableId="1117335461">
    <w:abstractNumId w:val="1"/>
  </w:num>
  <w:num w:numId="13" w16cid:durableId="1581333037">
    <w:abstractNumId w:val="4"/>
  </w:num>
  <w:num w:numId="14" w16cid:durableId="292758723">
    <w:abstractNumId w:val="2"/>
  </w:num>
  <w:num w:numId="15" w16cid:durableId="1632049673">
    <w:abstractNumId w:val="6"/>
  </w:num>
  <w:num w:numId="16" w16cid:durableId="313484760">
    <w:abstractNumId w:val="16"/>
  </w:num>
  <w:num w:numId="17" w16cid:durableId="1288044780">
    <w:abstractNumId w:val="17"/>
  </w:num>
  <w:num w:numId="18" w16cid:durableId="1912302614">
    <w:abstractNumId w:val="14"/>
  </w:num>
  <w:num w:numId="19" w16cid:durableId="94322328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quita Lamacraft">
    <w15:presenceInfo w15:providerId="AD" w15:userId="S::paquita.lamacraft@nationalfirechiefs.org.uk::832b082a-7f73-49d5-b2ab-f4ede0d9169b"/>
  </w15:person>
  <w15:person w15:author="Jemma Jones">
    <w15:presenceInfo w15:providerId="AD" w15:userId="S::jemma.jones@wdtrust.org.uk::f5ebb958-9750-4aba-baad-5abe6729ae0b"/>
  </w15:person>
  <w15:person w15:author="Alex Hetherington">
    <w15:presenceInfo w15:providerId="AD" w15:userId="S::alex.hetherington@wdtrust.org.uk::4b8dd82d-55c1-45db-bba4-2d1c49099f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Njc0MTQwtbQ0NzZU0lEKTi0uzszPAykwqQUAm+cp3ywAAAA="/>
  </w:docVars>
  <w:rsids>
    <w:rsidRoot w:val="00080D42"/>
    <w:rsid w:val="0005067A"/>
    <w:rsid w:val="00062A15"/>
    <w:rsid w:val="00080D42"/>
    <w:rsid w:val="0008335F"/>
    <w:rsid w:val="00084283"/>
    <w:rsid w:val="000A25D6"/>
    <w:rsid w:val="000A7BA6"/>
    <w:rsid w:val="000B471D"/>
    <w:rsid w:val="000E0550"/>
    <w:rsid w:val="000E1D8D"/>
    <w:rsid w:val="000E2407"/>
    <w:rsid w:val="000E40E4"/>
    <w:rsid w:val="000E4CC7"/>
    <w:rsid w:val="000E5B4B"/>
    <w:rsid w:val="000E7E91"/>
    <w:rsid w:val="000F673C"/>
    <w:rsid w:val="00102137"/>
    <w:rsid w:val="00102B58"/>
    <w:rsid w:val="001050DD"/>
    <w:rsid w:val="001054D1"/>
    <w:rsid w:val="0010745D"/>
    <w:rsid w:val="0011183E"/>
    <w:rsid w:val="00120C36"/>
    <w:rsid w:val="0013291F"/>
    <w:rsid w:val="001406DB"/>
    <w:rsid w:val="00143199"/>
    <w:rsid w:val="00157895"/>
    <w:rsid w:val="00157E66"/>
    <w:rsid w:val="00162BB9"/>
    <w:rsid w:val="00163071"/>
    <w:rsid w:val="00163936"/>
    <w:rsid w:val="00167CD4"/>
    <w:rsid w:val="00181730"/>
    <w:rsid w:val="001B01FC"/>
    <w:rsid w:val="001B075B"/>
    <w:rsid w:val="001B3576"/>
    <w:rsid w:val="001D262F"/>
    <w:rsid w:val="001D6502"/>
    <w:rsid w:val="001D6697"/>
    <w:rsid w:val="001F03B8"/>
    <w:rsid w:val="001F4404"/>
    <w:rsid w:val="001F4879"/>
    <w:rsid w:val="001F4B63"/>
    <w:rsid w:val="001F6F02"/>
    <w:rsid w:val="002006FF"/>
    <w:rsid w:val="00200CBC"/>
    <w:rsid w:val="00200FA0"/>
    <w:rsid w:val="002104E0"/>
    <w:rsid w:val="0021350E"/>
    <w:rsid w:val="00243A33"/>
    <w:rsid w:val="00246186"/>
    <w:rsid w:val="0025331D"/>
    <w:rsid w:val="002557C9"/>
    <w:rsid w:val="002662A6"/>
    <w:rsid w:val="00292D99"/>
    <w:rsid w:val="002A0678"/>
    <w:rsid w:val="002A4182"/>
    <w:rsid w:val="002A65DE"/>
    <w:rsid w:val="002A77D7"/>
    <w:rsid w:val="002C45AD"/>
    <w:rsid w:val="002D49A3"/>
    <w:rsid w:val="002E133D"/>
    <w:rsid w:val="002F4866"/>
    <w:rsid w:val="003000DB"/>
    <w:rsid w:val="003010A1"/>
    <w:rsid w:val="00301DB6"/>
    <w:rsid w:val="00307061"/>
    <w:rsid w:val="00307968"/>
    <w:rsid w:val="0032216F"/>
    <w:rsid w:val="00334FD6"/>
    <w:rsid w:val="00340D2F"/>
    <w:rsid w:val="00351169"/>
    <w:rsid w:val="00353164"/>
    <w:rsid w:val="00361119"/>
    <w:rsid w:val="003612FF"/>
    <w:rsid w:val="003630E0"/>
    <w:rsid w:val="00364AC7"/>
    <w:rsid w:val="0037375C"/>
    <w:rsid w:val="003774EA"/>
    <w:rsid w:val="003A58EA"/>
    <w:rsid w:val="003B13C6"/>
    <w:rsid w:val="003B2D54"/>
    <w:rsid w:val="003F0C74"/>
    <w:rsid w:val="004005CB"/>
    <w:rsid w:val="00413F12"/>
    <w:rsid w:val="004343C0"/>
    <w:rsid w:val="00442697"/>
    <w:rsid w:val="0046695D"/>
    <w:rsid w:val="00467A86"/>
    <w:rsid w:val="00482633"/>
    <w:rsid w:val="0048288B"/>
    <w:rsid w:val="004842CB"/>
    <w:rsid w:val="00486E17"/>
    <w:rsid w:val="00496D85"/>
    <w:rsid w:val="004A39F7"/>
    <w:rsid w:val="004A3C60"/>
    <w:rsid w:val="004A3E77"/>
    <w:rsid w:val="004B46B4"/>
    <w:rsid w:val="004B6429"/>
    <w:rsid w:val="004C218D"/>
    <w:rsid w:val="004C2596"/>
    <w:rsid w:val="004D034B"/>
    <w:rsid w:val="004D4F32"/>
    <w:rsid w:val="004D5808"/>
    <w:rsid w:val="004E3C5E"/>
    <w:rsid w:val="004F050F"/>
    <w:rsid w:val="004F3D98"/>
    <w:rsid w:val="00501E9B"/>
    <w:rsid w:val="00502516"/>
    <w:rsid w:val="00505D82"/>
    <w:rsid w:val="00507E3C"/>
    <w:rsid w:val="00511552"/>
    <w:rsid w:val="00517BCC"/>
    <w:rsid w:val="0052354C"/>
    <w:rsid w:val="00532529"/>
    <w:rsid w:val="00532F28"/>
    <w:rsid w:val="005332AC"/>
    <w:rsid w:val="00550940"/>
    <w:rsid w:val="0055341E"/>
    <w:rsid w:val="0055559A"/>
    <w:rsid w:val="00557687"/>
    <w:rsid w:val="00562655"/>
    <w:rsid w:val="005632F5"/>
    <w:rsid w:val="00563893"/>
    <w:rsid w:val="00564D54"/>
    <w:rsid w:val="00565169"/>
    <w:rsid w:val="00565EDF"/>
    <w:rsid w:val="00590DB8"/>
    <w:rsid w:val="00593B0C"/>
    <w:rsid w:val="00596A8F"/>
    <w:rsid w:val="005972A1"/>
    <w:rsid w:val="00597F92"/>
    <w:rsid w:val="005A214F"/>
    <w:rsid w:val="005A5FCB"/>
    <w:rsid w:val="005B2DB0"/>
    <w:rsid w:val="005B4344"/>
    <w:rsid w:val="005B6D7A"/>
    <w:rsid w:val="005B754A"/>
    <w:rsid w:val="005C04D6"/>
    <w:rsid w:val="005C2EE0"/>
    <w:rsid w:val="005C6B64"/>
    <w:rsid w:val="005D25AB"/>
    <w:rsid w:val="005E31A2"/>
    <w:rsid w:val="005E5384"/>
    <w:rsid w:val="00600FFF"/>
    <w:rsid w:val="00612B29"/>
    <w:rsid w:val="00624481"/>
    <w:rsid w:val="00636FF5"/>
    <w:rsid w:val="00641650"/>
    <w:rsid w:val="00642CC5"/>
    <w:rsid w:val="0065315B"/>
    <w:rsid w:val="00674B96"/>
    <w:rsid w:val="00675A99"/>
    <w:rsid w:val="00680974"/>
    <w:rsid w:val="00683D86"/>
    <w:rsid w:val="0069602E"/>
    <w:rsid w:val="00696C29"/>
    <w:rsid w:val="006A195B"/>
    <w:rsid w:val="006A1F63"/>
    <w:rsid w:val="006B7CA1"/>
    <w:rsid w:val="006C2303"/>
    <w:rsid w:val="006C45FF"/>
    <w:rsid w:val="006D129E"/>
    <w:rsid w:val="006D476D"/>
    <w:rsid w:val="006E0D76"/>
    <w:rsid w:val="006E0FED"/>
    <w:rsid w:val="00705405"/>
    <w:rsid w:val="00705751"/>
    <w:rsid w:val="00716695"/>
    <w:rsid w:val="00717EA4"/>
    <w:rsid w:val="00720F0E"/>
    <w:rsid w:val="0072291B"/>
    <w:rsid w:val="0072446E"/>
    <w:rsid w:val="00741F0F"/>
    <w:rsid w:val="007511AB"/>
    <w:rsid w:val="0075610C"/>
    <w:rsid w:val="0075665B"/>
    <w:rsid w:val="00763F2D"/>
    <w:rsid w:val="00764183"/>
    <w:rsid w:val="007716E4"/>
    <w:rsid w:val="0077246C"/>
    <w:rsid w:val="00783A60"/>
    <w:rsid w:val="00785683"/>
    <w:rsid w:val="007951B0"/>
    <w:rsid w:val="00795A7D"/>
    <w:rsid w:val="007A0335"/>
    <w:rsid w:val="007B4B33"/>
    <w:rsid w:val="007B7FC6"/>
    <w:rsid w:val="007C539A"/>
    <w:rsid w:val="007D11AA"/>
    <w:rsid w:val="007D3D54"/>
    <w:rsid w:val="007D7812"/>
    <w:rsid w:val="007E094E"/>
    <w:rsid w:val="007E7B56"/>
    <w:rsid w:val="007F559E"/>
    <w:rsid w:val="00801AD0"/>
    <w:rsid w:val="00801E4B"/>
    <w:rsid w:val="00804EB7"/>
    <w:rsid w:val="008069C1"/>
    <w:rsid w:val="008123DA"/>
    <w:rsid w:val="00813022"/>
    <w:rsid w:val="008267EE"/>
    <w:rsid w:val="00842CB8"/>
    <w:rsid w:val="00847319"/>
    <w:rsid w:val="00847C4B"/>
    <w:rsid w:val="00852394"/>
    <w:rsid w:val="00852870"/>
    <w:rsid w:val="00853FF9"/>
    <w:rsid w:val="00854336"/>
    <w:rsid w:val="00871457"/>
    <w:rsid w:val="00873ECA"/>
    <w:rsid w:val="00874C9A"/>
    <w:rsid w:val="008804D5"/>
    <w:rsid w:val="00894382"/>
    <w:rsid w:val="008A0975"/>
    <w:rsid w:val="008A53C4"/>
    <w:rsid w:val="008B1DAC"/>
    <w:rsid w:val="008B3C2A"/>
    <w:rsid w:val="008B6E96"/>
    <w:rsid w:val="008B725E"/>
    <w:rsid w:val="008B7540"/>
    <w:rsid w:val="008C6BA1"/>
    <w:rsid w:val="008D24D4"/>
    <w:rsid w:val="008D6429"/>
    <w:rsid w:val="008D73F9"/>
    <w:rsid w:val="008F7204"/>
    <w:rsid w:val="0091072F"/>
    <w:rsid w:val="009131DD"/>
    <w:rsid w:val="00915794"/>
    <w:rsid w:val="00920F5E"/>
    <w:rsid w:val="0093280B"/>
    <w:rsid w:val="00940B6F"/>
    <w:rsid w:val="00945054"/>
    <w:rsid w:val="00966187"/>
    <w:rsid w:val="0096765A"/>
    <w:rsid w:val="00975737"/>
    <w:rsid w:val="00975809"/>
    <w:rsid w:val="0097735F"/>
    <w:rsid w:val="00982F3E"/>
    <w:rsid w:val="009845D9"/>
    <w:rsid w:val="00985D52"/>
    <w:rsid w:val="00990F3C"/>
    <w:rsid w:val="00991D3C"/>
    <w:rsid w:val="009A0C86"/>
    <w:rsid w:val="009A198B"/>
    <w:rsid w:val="009A3C25"/>
    <w:rsid w:val="009A5564"/>
    <w:rsid w:val="009B0DD8"/>
    <w:rsid w:val="009B272D"/>
    <w:rsid w:val="009B7E2E"/>
    <w:rsid w:val="009C3632"/>
    <w:rsid w:val="009D6AF6"/>
    <w:rsid w:val="009D783E"/>
    <w:rsid w:val="009E0FC8"/>
    <w:rsid w:val="009E64C6"/>
    <w:rsid w:val="009F02A8"/>
    <w:rsid w:val="009F0B58"/>
    <w:rsid w:val="009F14B8"/>
    <w:rsid w:val="009F17F4"/>
    <w:rsid w:val="009F27DA"/>
    <w:rsid w:val="00A00DEB"/>
    <w:rsid w:val="00A07F17"/>
    <w:rsid w:val="00A11863"/>
    <w:rsid w:val="00A37C20"/>
    <w:rsid w:val="00A467EA"/>
    <w:rsid w:val="00A501BA"/>
    <w:rsid w:val="00A51A0D"/>
    <w:rsid w:val="00A51AEF"/>
    <w:rsid w:val="00A65DBA"/>
    <w:rsid w:val="00A77F51"/>
    <w:rsid w:val="00A8418D"/>
    <w:rsid w:val="00A96E7A"/>
    <w:rsid w:val="00AA730C"/>
    <w:rsid w:val="00AB2FAA"/>
    <w:rsid w:val="00AB4D04"/>
    <w:rsid w:val="00AC08EB"/>
    <w:rsid w:val="00AE1609"/>
    <w:rsid w:val="00AF040B"/>
    <w:rsid w:val="00B07D10"/>
    <w:rsid w:val="00B12F13"/>
    <w:rsid w:val="00B16051"/>
    <w:rsid w:val="00B17A6D"/>
    <w:rsid w:val="00B22369"/>
    <w:rsid w:val="00B30E3A"/>
    <w:rsid w:val="00B34001"/>
    <w:rsid w:val="00B40727"/>
    <w:rsid w:val="00B50B3B"/>
    <w:rsid w:val="00B5246C"/>
    <w:rsid w:val="00B650AA"/>
    <w:rsid w:val="00B67D77"/>
    <w:rsid w:val="00B8013D"/>
    <w:rsid w:val="00B813DB"/>
    <w:rsid w:val="00B81AAE"/>
    <w:rsid w:val="00B915C3"/>
    <w:rsid w:val="00B93A7A"/>
    <w:rsid w:val="00B9789B"/>
    <w:rsid w:val="00BC67ED"/>
    <w:rsid w:val="00BD2EB4"/>
    <w:rsid w:val="00BE026B"/>
    <w:rsid w:val="00C05C20"/>
    <w:rsid w:val="00C07193"/>
    <w:rsid w:val="00C217EC"/>
    <w:rsid w:val="00C335AB"/>
    <w:rsid w:val="00C40746"/>
    <w:rsid w:val="00C42F3D"/>
    <w:rsid w:val="00C61BDF"/>
    <w:rsid w:val="00C831E3"/>
    <w:rsid w:val="00C861FB"/>
    <w:rsid w:val="00C86CED"/>
    <w:rsid w:val="00CC3CAF"/>
    <w:rsid w:val="00CD340B"/>
    <w:rsid w:val="00CE0C9A"/>
    <w:rsid w:val="00CE1263"/>
    <w:rsid w:val="00D001C1"/>
    <w:rsid w:val="00D02888"/>
    <w:rsid w:val="00D1272F"/>
    <w:rsid w:val="00D212F6"/>
    <w:rsid w:val="00D25136"/>
    <w:rsid w:val="00D31AC4"/>
    <w:rsid w:val="00D42072"/>
    <w:rsid w:val="00D43CDA"/>
    <w:rsid w:val="00D5324B"/>
    <w:rsid w:val="00D55A70"/>
    <w:rsid w:val="00D67613"/>
    <w:rsid w:val="00D700B4"/>
    <w:rsid w:val="00D71528"/>
    <w:rsid w:val="00D837A4"/>
    <w:rsid w:val="00D91D55"/>
    <w:rsid w:val="00D92D01"/>
    <w:rsid w:val="00D9778D"/>
    <w:rsid w:val="00DB44EB"/>
    <w:rsid w:val="00DB4769"/>
    <w:rsid w:val="00DB62E1"/>
    <w:rsid w:val="00DE589D"/>
    <w:rsid w:val="00DF522A"/>
    <w:rsid w:val="00E02215"/>
    <w:rsid w:val="00E03982"/>
    <w:rsid w:val="00E068C1"/>
    <w:rsid w:val="00E104B8"/>
    <w:rsid w:val="00E4164B"/>
    <w:rsid w:val="00E50235"/>
    <w:rsid w:val="00E602EE"/>
    <w:rsid w:val="00E618A5"/>
    <w:rsid w:val="00E66B00"/>
    <w:rsid w:val="00E703CC"/>
    <w:rsid w:val="00E75689"/>
    <w:rsid w:val="00E82735"/>
    <w:rsid w:val="00E85985"/>
    <w:rsid w:val="00E86C61"/>
    <w:rsid w:val="00EA4A18"/>
    <w:rsid w:val="00EB2235"/>
    <w:rsid w:val="00EB4D39"/>
    <w:rsid w:val="00ED4512"/>
    <w:rsid w:val="00ED79E9"/>
    <w:rsid w:val="00EE6C73"/>
    <w:rsid w:val="00EF48CB"/>
    <w:rsid w:val="00EF635E"/>
    <w:rsid w:val="00F13367"/>
    <w:rsid w:val="00F13609"/>
    <w:rsid w:val="00F337BA"/>
    <w:rsid w:val="00F39E0C"/>
    <w:rsid w:val="00F524EE"/>
    <w:rsid w:val="00F56FBE"/>
    <w:rsid w:val="00F64345"/>
    <w:rsid w:val="00F757C3"/>
    <w:rsid w:val="00F77F41"/>
    <w:rsid w:val="00F80F33"/>
    <w:rsid w:val="00F94C2F"/>
    <w:rsid w:val="00FA0EF0"/>
    <w:rsid w:val="00FC244D"/>
    <w:rsid w:val="00FC54A7"/>
    <w:rsid w:val="00FC618E"/>
    <w:rsid w:val="00FC7188"/>
    <w:rsid w:val="00FF02BE"/>
    <w:rsid w:val="00FF3F21"/>
    <w:rsid w:val="00FF629E"/>
    <w:rsid w:val="038EDC91"/>
    <w:rsid w:val="0883AA46"/>
    <w:rsid w:val="1111AF5C"/>
    <w:rsid w:val="12065076"/>
    <w:rsid w:val="12AD7FBD"/>
    <w:rsid w:val="14A3B832"/>
    <w:rsid w:val="14E685EA"/>
    <w:rsid w:val="15E6634D"/>
    <w:rsid w:val="165120A3"/>
    <w:rsid w:val="1682564B"/>
    <w:rsid w:val="1B2491C6"/>
    <w:rsid w:val="232F0C33"/>
    <w:rsid w:val="2E448E87"/>
    <w:rsid w:val="3445550A"/>
    <w:rsid w:val="3DDF519C"/>
    <w:rsid w:val="412DEFAC"/>
    <w:rsid w:val="4640F0A8"/>
    <w:rsid w:val="4C13CFEF"/>
    <w:rsid w:val="4CC3CAE3"/>
    <w:rsid w:val="4D616FEE"/>
    <w:rsid w:val="4DEF8117"/>
    <w:rsid w:val="4E43F80A"/>
    <w:rsid w:val="529F9E67"/>
    <w:rsid w:val="55FC3228"/>
    <w:rsid w:val="5A33D886"/>
    <w:rsid w:val="5D048E4F"/>
    <w:rsid w:val="5DCDB1A0"/>
    <w:rsid w:val="5E6A13DD"/>
    <w:rsid w:val="5F0749A9"/>
    <w:rsid w:val="6287FA66"/>
    <w:rsid w:val="62E061D3"/>
    <w:rsid w:val="658A9323"/>
    <w:rsid w:val="68FA6DB0"/>
    <w:rsid w:val="6BC061AB"/>
    <w:rsid w:val="6F5AD23D"/>
    <w:rsid w:val="78ACD54B"/>
    <w:rsid w:val="78E88C26"/>
    <w:rsid w:val="7913C2C8"/>
    <w:rsid w:val="7C501FC2"/>
    <w:rsid w:val="7E6BF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07CD"/>
  <w15:chartTrackingRefBased/>
  <w15:docId w15:val="{E8A0FA95-A01D-459A-967D-5E905D54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42"/>
    <w:pPr>
      <w:spacing w:after="0" w:line="240" w:lineRule="auto"/>
      <w:ind w:left="720"/>
      <w:contextualSpacing/>
    </w:pPr>
    <w:rPr>
      <w:sz w:val="24"/>
      <w:szCs w:val="24"/>
    </w:rPr>
  </w:style>
  <w:style w:type="character" w:styleId="Hyperlink">
    <w:name w:val="Hyperlink"/>
    <w:basedOn w:val="DefaultParagraphFont"/>
    <w:uiPriority w:val="99"/>
    <w:unhideWhenUsed/>
    <w:rsid w:val="00080D42"/>
    <w:rPr>
      <w:color w:val="0563C1" w:themeColor="hyperlink"/>
      <w:u w:val="single"/>
    </w:rPr>
  </w:style>
  <w:style w:type="paragraph" w:styleId="FootnoteText">
    <w:name w:val="footnote text"/>
    <w:basedOn w:val="Normal"/>
    <w:link w:val="FootnoteTextChar"/>
    <w:uiPriority w:val="99"/>
    <w:semiHidden/>
    <w:unhideWhenUsed/>
    <w:rsid w:val="00080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D42"/>
    <w:rPr>
      <w:sz w:val="20"/>
      <w:szCs w:val="20"/>
    </w:rPr>
  </w:style>
  <w:style w:type="character" w:styleId="FootnoteReference">
    <w:name w:val="footnote reference"/>
    <w:basedOn w:val="DefaultParagraphFont"/>
    <w:uiPriority w:val="99"/>
    <w:semiHidden/>
    <w:unhideWhenUsed/>
    <w:rsid w:val="00080D42"/>
    <w:rPr>
      <w:vertAlign w:val="superscript"/>
    </w:rPr>
  </w:style>
  <w:style w:type="character" w:styleId="CommentReference">
    <w:name w:val="annotation reference"/>
    <w:basedOn w:val="DefaultParagraphFont"/>
    <w:uiPriority w:val="99"/>
    <w:semiHidden/>
    <w:unhideWhenUsed/>
    <w:rsid w:val="00243A33"/>
    <w:rPr>
      <w:sz w:val="16"/>
      <w:szCs w:val="16"/>
    </w:rPr>
  </w:style>
  <w:style w:type="paragraph" w:styleId="CommentText">
    <w:name w:val="annotation text"/>
    <w:basedOn w:val="Normal"/>
    <w:link w:val="CommentTextChar"/>
    <w:uiPriority w:val="99"/>
    <w:unhideWhenUsed/>
    <w:rsid w:val="00243A33"/>
    <w:pPr>
      <w:spacing w:line="240" w:lineRule="auto"/>
    </w:pPr>
    <w:rPr>
      <w:sz w:val="20"/>
      <w:szCs w:val="20"/>
    </w:rPr>
  </w:style>
  <w:style w:type="character" w:customStyle="1" w:styleId="CommentTextChar">
    <w:name w:val="Comment Text Char"/>
    <w:basedOn w:val="DefaultParagraphFont"/>
    <w:link w:val="CommentText"/>
    <w:uiPriority w:val="99"/>
    <w:rsid w:val="00243A33"/>
    <w:rPr>
      <w:sz w:val="20"/>
      <w:szCs w:val="20"/>
    </w:rPr>
  </w:style>
  <w:style w:type="character" w:styleId="FollowedHyperlink">
    <w:name w:val="FollowedHyperlink"/>
    <w:basedOn w:val="DefaultParagraphFont"/>
    <w:uiPriority w:val="99"/>
    <w:semiHidden/>
    <w:unhideWhenUsed/>
    <w:rsid w:val="00DF522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1350E"/>
    <w:rPr>
      <w:b/>
      <w:bCs/>
    </w:rPr>
  </w:style>
  <w:style w:type="character" w:customStyle="1" w:styleId="CommentSubjectChar">
    <w:name w:val="Comment Subject Char"/>
    <w:basedOn w:val="CommentTextChar"/>
    <w:link w:val="CommentSubject"/>
    <w:uiPriority w:val="99"/>
    <w:semiHidden/>
    <w:rsid w:val="0021350E"/>
    <w:rPr>
      <w:b/>
      <w:bCs/>
      <w:sz w:val="20"/>
      <w:szCs w:val="20"/>
    </w:rPr>
  </w:style>
  <w:style w:type="character" w:styleId="UnresolvedMention">
    <w:name w:val="Unresolved Mention"/>
    <w:basedOn w:val="DefaultParagraphFont"/>
    <w:uiPriority w:val="99"/>
    <w:semiHidden/>
    <w:unhideWhenUsed/>
    <w:rsid w:val="00467A86"/>
    <w:rPr>
      <w:color w:val="605E5C"/>
      <w:shd w:val="clear" w:color="auto" w:fill="E1DFDD"/>
    </w:rPr>
  </w:style>
  <w:style w:type="table" w:styleId="TableGrid">
    <w:name w:val="Table Grid"/>
    <w:basedOn w:val="TableNormal"/>
    <w:uiPriority w:val="39"/>
    <w:rsid w:val="002A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559A"/>
    <w:rPr>
      <w:i/>
      <w:iCs/>
    </w:rPr>
  </w:style>
  <w:style w:type="paragraph" w:styleId="Header">
    <w:name w:val="header"/>
    <w:basedOn w:val="Normal"/>
    <w:link w:val="HeaderChar"/>
    <w:uiPriority w:val="99"/>
    <w:semiHidden/>
    <w:unhideWhenUsed/>
    <w:rsid w:val="006D47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76D"/>
  </w:style>
  <w:style w:type="paragraph" w:styleId="Footer">
    <w:name w:val="footer"/>
    <w:basedOn w:val="Normal"/>
    <w:link w:val="FooterChar"/>
    <w:uiPriority w:val="99"/>
    <w:semiHidden/>
    <w:unhideWhenUsed/>
    <w:rsid w:val="006D47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535">
      <w:bodyDiv w:val="1"/>
      <w:marLeft w:val="0"/>
      <w:marRight w:val="0"/>
      <w:marTop w:val="0"/>
      <w:marBottom w:val="0"/>
      <w:divBdr>
        <w:top w:val="none" w:sz="0" w:space="0" w:color="auto"/>
        <w:left w:val="none" w:sz="0" w:space="0" w:color="auto"/>
        <w:bottom w:val="none" w:sz="0" w:space="0" w:color="auto"/>
        <w:right w:val="none" w:sz="0" w:space="0" w:color="auto"/>
      </w:divBdr>
    </w:div>
    <w:div w:id="167601486">
      <w:bodyDiv w:val="1"/>
      <w:marLeft w:val="0"/>
      <w:marRight w:val="0"/>
      <w:marTop w:val="0"/>
      <w:marBottom w:val="0"/>
      <w:divBdr>
        <w:top w:val="none" w:sz="0" w:space="0" w:color="auto"/>
        <w:left w:val="none" w:sz="0" w:space="0" w:color="auto"/>
        <w:bottom w:val="none" w:sz="0" w:space="0" w:color="auto"/>
        <w:right w:val="none" w:sz="0" w:space="0" w:color="auto"/>
      </w:divBdr>
    </w:div>
    <w:div w:id="1238399965">
      <w:bodyDiv w:val="1"/>
      <w:marLeft w:val="0"/>
      <w:marRight w:val="0"/>
      <w:marTop w:val="0"/>
      <w:marBottom w:val="0"/>
      <w:divBdr>
        <w:top w:val="none" w:sz="0" w:space="0" w:color="auto"/>
        <w:left w:val="none" w:sz="0" w:space="0" w:color="auto"/>
        <w:bottom w:val="none" w:sz="0" w:space="0" w:color="auto"/>
        <w:right w:val="none" w:sz="0" w:space="0" w:color="auto"/>
      </w:divBdr>
    </w:div>
    <w:div w:id="13002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firestandards.org/standards/approved/community-risk-management-planning-fss-rmp0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EC0BD-B81F-4628-BC3F-3ED62473A6D1}"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GB"/>
        </a:p>
      </dgm:t>
    </dgm:pt>
    <dgm:pt modelId="{01FA52C2-5D1D-425C-8A96-4EAB0DB14CF8}">
      <dgm:prSet phldrT="[Text]"/>
      <dgm:spPr/>
      <dgm:t>
        <a:bodyPr/>
        <a:lstStyle/>
        <a:p>
          <a:r>
            <a:rPr lang="en-GB">
              <a:ln>
                <a:noFill/>
              </a:ln>
            </a:rPr>
            <a:t>Risk Groups</a:t>
          </a:r>
        </a:p>
      </dgm:t>
    </dgm:pt>
    <dgm:pt modelId="{CBD316D1-37D1-48C8-993E-57255D05A897}" type="parTrans" cxnId="{DE2266FB-8A06-4402-8D20-95CB6D2EB488}">
      <dgm:prSet/>
      <dgm:spPr/>
      <dgm:t>
        <a:bodyPr/>
        <a:lstStyle/>
        <a:p>
          <a:endParaRPr lang="en-GB">
            <a:ln>
              <a:noFill/>
            </a:ln>
          </a:endParaRPr>
        </a:p>
      </dgm:t>
    </dgm:pt>
    <dgm:pt modelId="{4A22612A-E152-4360-844D-8E18FEDC4FD2}" type="sibTrans" cxnId="{DE2266FB-8A06-4402-8D20-95CB6D2EB488}">
      <dgm:prSet/>
      <dgm:spPr/>
      <dgm:t>
        <a:bodyPr/>
        <a:lstStyle/>
        <a:p>
          <a:endParaRPr lang="en-GB">
            <a:ln>
              <a:noFill/>
            </a:ln>
          </a:endParaRPr>
        </a:p>
      </dgm:t>
    </dgm:pt>
    <dgm:pt modelId="{DE8C2B23-DFDE-47E4-BA1A-075DAFFDB758}">
      <dgm:prSet phldrT="[Text]"/>
      <dgm:spPr/>
      <dgm:t>
        <a:bodyPr/>
        <a:lstStyle/>
        <a:p>
          <a:r>
            <a:rPr lang="en-GB">
              <a:ln>
                <a:noFill/>
              </a:ln>
            </a:rPr>
            <a:t>People </a:t>
          </a:r>
        </a:p>
      </dgm:t>
    </dgm:pt>
    <dgm:pt modelId="{E51F9FA1-E8B1-4270-8A35-E24B9A35683F}" type="parTrans" cxnId="{DF310630-AE20-4E69-B638-17836401F208}">
      <dgm:prSet/>
      <dgm:spPr/>
      <dgm:t>
        <a:bodyPr/>
        <a:lstStyle/>
        <a:p>
          <a:endParaRPr lang="en-GB">
            <a:ln>
              <a:noFill/>
            </a:ln>
          </a:endParaRPr>
        </a:p>
      </dgm:t>
    </dgm:pt>
    <dgm:pt modelId="{DF1510B8-B8E1-4E76-B64B-4FD066A90D67}" type="sibTrans" cxnId="{DF310630-AE20-4E69-B638-17836401F208}">
      <dgm:prSet/>
      <dgm:spPr/>
      <dgm:t>
        <a:bodyPr/>
        <a:lstStyle/>
        <a:p>
          <a:endParaRPr lang="en-GB">
            <a:ln>
              <a:noFill/>
            </a:ln>
          </a:endParaRPr>
        </a:p>
      </dgm:t>
    </dgm:pt>
    <dgm:pt modelId="{F3B8B222-D426-46DE-9D60-B5C274672809}">
      <dgm:prSet phldrT="[Text]"/>
      <dgm:spPr/>
      <dgm:t>
        <a:bodyPr/>
        <a:lstStyle/>
        <a:p>
          <a:r>
            <a:rPr lang="en-GB">
              <a:ln>
                <a:noFill/>
              </a:ln>
            </a:rPr>
            <a:t>Environment</a:t>
          </a:r>
        </a:p>
      </dgm:t>
    </dgm:pt>
    <dgm:pt modelId="{4349A5A9-5C9C-40BC-BC76-C8A3DA1A20FC}" type="parTrans" cxnId="{392F9C57-0FAD-43F7-8AAB-92DA194FDCF1}">
      <dgm:prSet/>
      <dgm:spPr/>
      <dgm:t>
        <a:bodyPr/>
        <a:lstStyle/>
        <a:p>
          <a:endParaRPr lang="en-GB">
            <a:ln>
              <a:noFill/>
            </a:ln>
          </a:endParaRPr>
        </a:p>
      </dgm:t>
    </dgm:pt>
    <dgm:pt modelId="{69107E1E-661A-4310-BF9A-1AAABB4C141F}" type="sibTrans" cxnId="{392F9C57-0FAD-43F7-8AAB-92DA194FDCF1}">
      <dgm:prSet/>
      <dgm:spPr/>
      <dgm:t>
        <a:bodyPr/>
        <a:lstStyle/>
        <a:p>
          <a:endParaRPr lang="en-GB">
            <a:ln>
              <a:noFill/>
            </a:ln>
          </a:endParaRPr>
        </a:p>
      </dgm:t>
    </dgm:pt>
    <dgm:pt modelId="{77147E2A-29AF-45B6-8767-9B01F177EE95}">
      <dgm:prSet phldrT="[Text]"/>
      <dgm:spPr/>
      <dgm:t>
        <a:bodyPr/>
        <a:lstStyle/>
        <a:p>
          <a:r>
            <a:rPr lang="en-GB">
              <a:ln>
                <a:noFill/>
              </a:ln>
            </a:rPr>
            <a:t>Heritage</a:t>
          </a:r>
        </a:p>
      </dgm:t>
    </dgm:pt>
    <dgm:pt modelId="{6F99C2C4-B5E9-481A-9E51-945E1AEA9CBB}" type="parTrans" cxnId="{36DEB1AB-6B30-4FFB-9FCD-D93AA40F5399}">
      <dgm:prSet/>
      <dgm:spPr/>
      <dgm:t>
        <a:bodyPr/>
        <a:lstStyle/>
        <a:p>
          <a:endParaRPr lang="en-GB">
            <a:ln>
              <a:noFill/>
            </a:ln>
          </a:endParaRPr>
        </a:p>
      </dgm:t>
    </dgm:pt>
    <dgm:pt modelId="{B85DD4A3-2F32-4043-8292-D45348ABE120}" type="sibTrans" cxnId="{36DEB1AB-6B30-4FFB-9FCD-D93AA40F5399}">
      <dgm:prSet/>
      <dgm:spPr/>
      <dgm:t>
        <a:bodyPr/>
        <a:lstStyle/>
        <a:p>
          <a:endParaRPr lang="en-GB">
            <a:ln>
              <a:noFill/>
            </a:ln>
          </a:endParaRPr>
        </a:p>
      </dgm:t>
    </dgm:pt>
    <dgm:pt modelId="{9B56496C-C3B6-4718-92B7-A4FEE0FE7AE3}">
      <dgm:prSet phldrT="[Text]"/>
      <dgm:spPr/>
      <dgm:t>
        <a:bodyPr/>
        <a:lstStyle/>
        <a:p>
          <a:r>
            <a:rPr lang="en-GB">
              <a:ln>
                <a:noFill/>
              </a:ln>
            </a:rPr>
            <a:t>Community</a:t>
          </a:r>
        </a:p>
      </dgm:t>
    </dgm:pt>
    <dgm:pt modelId="{6AB2C7D2-8EA8-4689-A2E8-9CAA079CE863}" type="parTrans" cxnId="{4BEE68EE-22ED-457E-9836-197CD0C78250}">
      <dgm:prSet/>
      <dgm:spPr/>
      <dgm:t>
        <a:bodyPr/>
        <a:lstStyle/>
        <a:p>
          <a:endParaRPr lang="en-GB">
            <a:ln>
              <a:noFill/>
            </a:ln>
          </a:endParaRPr>
        </a:p>
      </dgm:t>
    </dgm:pt>
    <dgm:pt modelId="{654C0958-A68C-4084-B204-C520859A950B}" type="sibTrans" cxnId="{4BEE68EE-22ED-457E-9836-197CD0C78250}">
      <dgm:prSet/>
      <dgm:spPr/>
      <dgm:t>
        <a:bodyPr/>
        <a:lstStyle/>
        <a:p>
          <a:endParaRPr lang="en-GB">
            <a:ln>
              <a:noFill/>
            </a:ln>
          </a:endParaRPr>
        </a:p>
      </dgm:t>
    </dgm:pt>
    <dgm:pt modelId="{CA6F35DF-B04C-4F9E-9026-DA7B89ECAC69}">
      <dgm:prSet/>
      <dgm:spPr/>
      <dgm:t>
        <a:bodyPr/>
        <a:lstStyle/>
        <a:p>
          <a:r>
            <a:rPr lang="en-GB">
              <a:ln>
                <a:noFill/>
              </a:ln>
            </a:rPr>
            <a:t>Property</a:t>
          </a:r>
        </a:p>
      </dgm:t>
    </dgm:pt>
    <dgm:pt modelId="{5CCD89CB-54EA-4A42-9577-A73942069029}" type="parTrans" cxnId="{4CB4C00B-B3BC-43CB-9E24-587584F277E7}">
      <dgm:prSet/>
      <dgm:spPr/>
      <dgm:t>
        <a:bodyPr/>
        <a:lstStyle/>
        <a:p>
          <a:endParaRPr lang="en-GB">
            <a:ln>
              <a:noFill/>
            </a:ln>
          </a:endParaRPr>
        </a:p>
      </dgm:t>
    </dgm:pt>
    <dgm:pt modelId="{F233665A-25D3-4549-AC4F-5C0527B7AEB8}" type="sibTrans" cxnId="{4CB4C00B-B3BC-43CB-9E24-587584F277E7}">
      <dgm:prSet/>
      <dgm:spPr/>
      <dgm:t>
        <a:bodyPr/>
        <a:lstStyle/>
        <a:p>
          <a:endParaRPr lang="en-GB">
            <a:ln>
              <a:noFill/>
            </a:ln>
          </a:endParaRPr>
        </a:p>
      </dgm:t>
    </dgm:pt>
    <dgm:pt modelId="{15A8FC4D-B129-44C9-AE48-A0475DCD8DAD}">
      <dgm:prSet/>
      <dgm:spPr/>
      <dgm:t>
        <a:bodyPr/>
        <a:lstStyle/>
        <a:p>
          <a:r>
            <a:rPr lang="en-GB">
              <a:ln>
                <a:noFill/>
              </a:ln>
            </a:rPr>
            <a:t>Business</a:t>
          </a:r>
        </a:p>
      </dgm:t>
    </dgm:pt>
    <dgm:pt modelId="{556A2FBB-EDD1-479E-BB75-E5DF4EB4AB07}" type="parTrans" cxnId="{99A25CF5-E4E9-40D3-8388-B7E57CC80C26}">
      <dgm:prSet/>
      <dgm:spPr/>
      <dgm:t>
        <a:bodyPr/>
        <a:lstStyle/>
        <a:p>
          <a:endParaRPr lang="en-GB">
            <a:ln>
              <a:noFill/>
            </a:ln>
          </a:endParaRPr>
        </a:p>
      </dgm:t>
    </dgm:pt>
    <dgm:pt modelId="{71656656-4B7B-4381-8664-36C6EF8B8136}" type="sibTrans" cxnId="{99A25CF5-E4E9-40D3-8388-B7E57CC80C26}">
      <dgm:prSet/>
      <dgm:spPr/>
      <dgm:t>
        <a:bodyPr/>
        <a:lstStyle/>
        <a:p>
          <a:endParaRPr lang="en-GB">
            <a:ln>
              <a:noFill/>
            </a:ln>
          </a:endParaRPr>
        </a:p>
      </dgm:t>
    </dgm:pt>
    <dgm:pt modelId="{0EC34461-59CE-4330-8581-EA1E841FD219}">
      <dgm:prSet/>
      <dgm:spPr/>
      <dgm:t>
        <a:bodyPr/>
        <a:lstStyle/>
        <a:p>
          <a:r>
            <a:rPr lang="en-GB"/>
            <a:t>Operational     Emergency resonders  FRS Equpment</a:t>
          </a:r>
        </a:p>
      </dgm:t>
    </dgm:pt>
    <dgm:pt modelId="{0DD3F45B-5D9B-4E9C-A146-D95F4C5601B7}" type="parTrans" cxnId="{6858A07B-6B0E-4BA0-8B0F-6A617FF11B50}">
      <dgm:prSet/>
      <dgm:spPr/>
      <dgm:t>
        <a:bodyPr/>
        <a:lstStyle/>
        <a:p>
          <a:endParaRPr lang="en-GB"/>
        </a:p>
      </dgm:t>
    </dgm:pt>
    <dgm:pt modelId="{24333909-B3E1-4983-B7D6-BEDB494EB5D1}" type="sibTrans" cxnId="{6858A07B-6B0E-4BA0-8B0F-6A617FF11B50}">
      <dgm:prSet/>
      <dgm:spPr/>
      <dgm:t>
        <a:bodyPr/>
        <a:lstStyle/>
        <a:p>
          <a:endParaRPr lang="en-GB"/>
        </a:p>
      </dgm:t>
    </dgm:pt>
    <dgm:pt modelId="{5EAEDB44-7B06-4032-B197-84CD60FC1DC9}" type="pres">
      <dgm:prSet presAssocID="{B62EC0BD-B81F-4628-BC3F-3ED62473A6D1}" presName="cycle" presStyleCnt="0">
        <dgm:presLayoutVars>
          <dgm:chMax val="1"/>
          <dgm:dir/>
          <dgm:animLvl val="ctr"/>
          <dgm:resizeHandles val="exact"/>
        </dgm:presLayoutVars>
      </dgm:prSet>
      <dgm:spPr/>
    </dgm:pt>
    <dgm:pt modelId="{98E920B8-3B53-4EE5-BE33-471269380022}" type="pres">
      <dgm:prSet presAssocID="{01FA52C2-5D1D-425C-8A96-4EAB0DB14CF8}" presName="centerShape" presStyleLbl="node0" presStyleIdx="0" presStyleCnt="1"/>
      <dgm:spPr/>
    </dgm:pt>
    <dgm:pt modelId="{46078829-E2B8-425D-AEA6-31C3D42349F0}" type="pres">
      <dgm:prSet presAssocID="{E51F9FA1-E8B1-4270-8A35-E24B9A35683F}" presName="Name9" presStyleLbl="parChTrans1D2" presStyleIdx="0" presStyleCnt="7"/>
      <dgm:spPr/>
    </dgm:pt>
    <dgm:pt modelId="{E10F711B-CAAF-4812-90DC-DAAF56C3674C}" type="pres">
      <dgm:prSet presAssocID="{E51F9FA1-E8B1-4270-8A35-E24B9A35683F}" presName="connTx" presStyleLbl="parChTrans1D2" presStyleIdx="0" presStyleCnt="7"/>
      <dgm:spPr/>
    </dgm:pt>
    <dgm:pt modelId="{5564BE7B-8488-435E-83B9-13F681746120}" type="pres">
      <dgm:prSet presAssocID="{DE8C2B23-DFDE-47E4-BA1A-075DAFFDB758}" presName="node" presStyleLbl="node1" presStyleIdx="0" presStyleCnt="7" custRadScaleRad="86714" custRadScaleInc="-91166">
        <dgm:presLayoutVars>
          <dgm:bulletEnabled val="1"/>
        </dgm:presLayoutVars>
      </dgm:prSet>
      <dgm:spPr/>
    </dgm:pt>
    <dgm:pt modelId="{E763564F-A430-4D09-BCF8-609AFD7608DE}" type="pres">
      <dgm:prSet presAssocID="{5CCD89CB-54EA-4A42-9577-A73942069029}" presName="Name9" presStyleLbl="parChTrans1D2" presStyleIdx="1" presStyleCnt="7"/>
      <dgm:spPr/>
    </dgm:pt>
    <dgm:pt modelId="{8612C231-6CE6-4551-9DD8-79C6D3FDB36F}" type="pres">
      <dgm:prSet presAssocID="{5CCD89CB-54EA-4A42-9577-A73942069029}" presName="connTx" presStyleLbl="parChTrans1D2" presStyleIdx="1" presStyleCnt="7"/>
      <dgm:spPr/>
    </dgm:pt>
    <dgm:pt modelId="{A53BCD97-6B3D-4530-B632-B694F206DA0B}" type="pres">
      <dgm:prSet presAssocID="{CA6F35DF-B04C-4F9E-9026-DA7B89ECAC69}" presName="node" presStyleLbl="node1" presStyleIdx="1" presStyleCnt="7" custRadScaleRad="95347" custRadScaleInc="-31561">
        <dgm:presLayoutVars>
          <dgm:bulletEnabled val="1"/>
        </dgm:presLayoutVars>
      </dgm:prSet>
      <dgm:spPr/>
    </dgm:pt>
    <dgm:pt modelId="{EEEDD1B0-F3C9-471B-9A7A-A79C2720A4A0}" type="pres">
      <dgm:prSet presAssocID="{556A2FBB-EDD1-479E-BB75-E5DF4EB4AB07}" presName="Name9" presStyleLbl="parChTrans1D2" presStyleIdx="2" presStyleCnt="7"/>
      <dgm:spPr/>
    </dgm:pt>
    <dgm:pt modelId="{536CCCD3-493A-4E92-8A65-3D571C8D8B36}" type="pres">
      <dgm:prSet presAssocID="{556A2FBB-EDD1-479E-BB75-E5DF4EB4AB07}" presName="connTx" presStyleLbl="parChTrans1D2" presStyleIdx="2" presStyleCnt="7"/>
      <dgm:spPr/>
    </dgm:pt>
    <dgm:pt modelId="{667F1B70-0FB6-4359-8D8F-0DA3508CC53F}" type="pres">
      <dgm:prSet presAssocID="{15A8FC4D-B129-44C9-AE48-A0475DCD8DAD}" presName="node" presStyleLbl="node1" presStyleIdx="2" presStyleCnt="7">
        <dgm:presLayoutVars>
          <dgm:bulletEnabled val="1"/>
        </dgm:presLayoutVars>
      </dgm:prSet>
      <dgm:spPr/>
    </dgm:pt>
    <dgm:pt modelId="{F91F2AAE-2DBE-4E15-851A-3B8A7DBED60D}" type="pres">
      <dgm:prSet presAssocID="{4349A5A9-5C9C-40BC-BC76-C8A3DA1A20FC}" presName="Name9" presStyleLbl="parChTrans1D2" presStyleIdx="3" presStyleCnt="7"/>
      <dgm:spPr/>
    </dgm:pt>
    <dgm:pt modelId="{C972CABF-1C0F-4161-B489-24FF2665FE9A}" type="pres">
      <dgm:prSet presAssocID="{4349A5A9-5C9C-40BC-BC76-C8A3DA1A20FC}" presName="connTx" presStyleLbl="parChTrans1D2" presStyleIdx="3" presStyleCnt="7"/>
      <dgm:spPr/>
    </dgm:pt>
    <dgm:pt modelId="{09E509D9-A51C-4432-9F63-3C57464CBE73}" type="pres">
      <dgm:prSet presAssocID="{F3B8B222-D426-46DE-9D60-B5C274672809}" presName="node" presStyleLbl="node1" presStyleIdx="3" presStyleCnt="7">
        <dgm:presLayoutVars>
          <dgm:bulletEnabled val="1"/>
        </dgm:presLayoutVars>
      </dgm:prSet>
      <dgm:spPr/>
    </dgm:pt>
    <dgm:pt modelId="{CC1039B3-FDE2-486C-B6FB-3F8D7A508D68}" type="pres">
      <dgm:prSet presAssocID="{6F99C2C4-B5E9-481A-9E51-945E1AEA9CBB}" presName="Name9" presStyleLbl="parChTrans1D2" presStyleIdx="4" presStyleCnt="7"/>
      <dgm:spPr/>
    </dgm:pt>
    <dgm:pt modelId="{50971FE2-A310-435E-957E-6F5309B96B42}" type="pres">
      <dgm:prSet presAssocID="{6F99C2C4-B5E9-481A-9E51-945E1AEA9CBB}" presName="connTx" presStyleLbl="parChTrans1D2" presStyleIdx="4" presStyleCnt="7"/>
      <dgm:spPr/>
    </dgm:pt>
    <dgm:pt modelId="{8711BD61-E01F-4C34-8809-E5A374E5A4DD}" type="pres">
      <dgm:prSet presAssocID="{77147E2A-29AF-45B6-8767-9B01F177EE95}" presName="node" presStyleLbl="node1" presStyleIdx="4" presStyleCnt="7">
        <dgm:presLayoutVars>
          <dgm:bulletEnabled val="1"/>
        </dgm:presLayoutVars>
      </dgm:prSet>
      <dgm:spPr/>
    </dgm:pt>
    <dgm:pt modelId="{D9D93EB6-830A-41B0-AFE1-CA515207722F}" type="pres">
      <dgm:prSet presAssocID="{6AB2C7D2-8EA8-4689-A2E8-9CAA079CE863}" presName="Name9" presStyleLbl="parChTrans1D2" presStyleIdx="5" presStyleCnt="7"/>
      <dgm:spPr/>
    </dgm:pt>
    <dgm:pt modelId="{4AB5FE45-75A0-46CD-9B50-D97E3A186BFA}" type="pres">
      <dgm:prSet presAssocID="{6AB2C7D2-8EA8-4689-A2E8-9CAA079CE863}" presName="connTx" presStyleLbl="parChTrans1D2" presStyleIdx="5" presStyleCnt="7"/>
      <dgm:spPr/>
    </dgm:pt>
    <dgm:pt modelId="{72CF1F0E-BB6F-4A56-8FBD-68D1B8EF8573}" type="pres">
      <dgm:prSet presAssocID="{9B56496C-C3B6-4718-92B7-A4FEE0FE7AE3}" presName="node" presStyleLbl="node1" presStyleIdx="5" presStyleCnt="7" custRadScaleRad="95578" custRadScaleInc="48762">
        <dgm:presLayoutVars>
          <dgm:bulletEnabled val="1"/>
        </dgm:presLayoutVars>
      </dgm:prSet>
      <dgm:spPr/>
    </dgm:pt>
    <dgm:pt modelId="{35933A67-5AA5-4C1C-B57A-3589A2C72012}" type="pres">
      <dgm:prSet presAssocID="{0DD3F45B-5D9B-4E9C-A146-D95F4C5601B7}" presName="Name9" presStyleLbl="parChTrans1D2" presStyleIdx="6" presStyleCnt="7"/>
      <dgm:spPr/>
    </dgm:pt>
    <dgm:pt modelId="{E54C9A1D-60A2-4BD0-9B1F-8695F289BE14}" type="pres">
      <dgm:prSet presAssocID="{0DD3F45B-5D9B-4E9C-A146-D95F4C5601B7}" presName="connTx" presStyleLbl="parChTrans1D2" presStyleIdx="6" presStyleCnt="7"/>
      <dgm:spPr/>
    </dgm:pt>
    <dgm:pt modelId="{491DB5EB-9C31-4383-9A47-5E3F063A1868}" type="pres">
      <dgm:prSet presAssocID="{0EC34461-59CE-4330-8581-EA1E841FD219}" presName="node" presStyleLbl="node1" presStyleIdx="6" presStyleCnt="7" custScaleX="152444" custScaleY="62417" custRadScaleRad="177962" custRadScaleInc="-35808">
        <dgm:presLayoutVars>
          <dgm:bulletEnabled val="1"/>
        </dgm:presLayoutVars>
      </dgm:prSet>
      <dgm:spPr/>
    </dgm:pt>
  </dgm:ptLst>
  <dgm:cxnLst>
    <dgm:cxn modelId="{45A56702-5FEA-46A4-8CB2-AD0AF61ABE0E}" type="presOf" srcId="{6F99C2C4-B5E9-481A-9E51-945E1AEA9CBB}" destId="{50971FE2-A310-435E-957E-6F5309B96B42}" srcOrd="1" destOrd="0" presId="urn:microsoft.com/office/officeart/2005/8/layout/radial1"/>
    <dgm:cxn modelId="{93765305-C360-4AEF-8D29-A5DA841BA7CC}" type="presOf" srcId="{6AB2C7D2-8EA8-4689-A2E8-9CAA079CE863}" destId="{4AB5FE45-75A0-46CD-9B50-D97E3A186BFA}" srcOrd="1" destOrd="0" presId="urn:microsoft.com/office/officeart/2005/8/layout/radial1"/>
    <dgm:cxn modelId="{CEF68105-756B-4653-9C05-534257061EB0}" type="presOf" srcId="{E51F9FA1-E8B1-4270-8A35-E24B9A35683F}" destId="{E10F711B-CAAF-4812-90DC-DAAF56C3674C}" srcOrd="1" destOrd="0" presId="urn:microsoft.com/office/officeart/2005/8/layout/radial1"/>
    <dgm:cxn modelId="{C45F8A08-F09A-4E97-A8EA-C074EB77B059}" type="presOf" srcId="{B62EC0BD-B81F-4628-BC3F-3ED62473A6D1}" destId="{5EAEDB44-7B06-4032-B197-84CD60FC1DC9}" srcOrd="0" destOrd="0" presId="urn:microsoft.com/office/officeart/2005/8/layout/radial1"/>
    <dgm:cxn modelId="{4CB4C00B-B3BC-43CB-9E24-587584F277E7}" srcId="{01FA52C2-5D1D-425C-8A96-4EAB0DB14CF8}" destId="{CA6F35DF-B04C-4F9E-9026-DA7B89ECAC69}" srcOrd="1" destOrd="0" parTransId="{5CCD89CB-54EA-4A42-9577-A73942069029}" sibTransId="{F233665A-25D3-4549-AC4F-5C0527B7AEB8}"/>
    <dgm:cxn modelId="{70EE2F0C-C826-4F3C-9539-17DFF539E8E1}" type="presOf" srcId="{CA6F35DF-B04C-4F9E-9026-DA7B89ECAC69}" destId="{A53BCD97-6B3D-4530-B632-B694F206DA0B}" srcOrd="0" destOrd="0" presId="urn:microsoft.com/office/officeart/2005/8/layout/radial1"/>
    <dgm:cxn modelId="{7E95520D-B9D0-4371-B972-5ACA6748C194}" type="presOf" srcId="{4349A5A9-5C9C-40BC-BC76-C8A3DA1A20FC}" destId="{F91F2AAE-2DBE-4E15-851A-3B8A7DBED60D}" srcOrd="0" destOrd="0" presId="urn:microsoft.com/office/officeart/2005/8/layout/radial1"/>
    <dgm:cxn modelId="{AAA0AA13-FE68-4415-9B8D-A2C56348D3DD}" type="presOf" srcId="{01FA52C2-5D1D-425C-8A96-4EAB0DB14CF8}" destId="{98E920B8-3B53-4EE5-BE33-471269380022}" srcOrd="0" destOrd="0" presId="urn:microsoft.com/office/officeart/2005/8/layout/radial1"/>
    <dgm:cxn modelId="{C8F0752B-EEB7-4D24-9B83-F5F5D30E6701}" type="presOf" srcId="{5CCD89CB-54EA-4A42-9577-A73942069029}" destId="{E763564F-A430-4D09-BCF8-609AFD7608DE}" srcOrd="0" destOrd="0" presId="urn:microsoft.com/office/officeart/2005/8/layout/radial1"/>
    <dgm:cxn modelId="{DF310630-AE20-4E69-B638-17836401F208}" srcId="{01FA52C2-5D1D-425C-8A96-4EAB0DB14CF8}" destId="{DE8C2B23-DFDE-47E4-BA1A-075DAFFDB758}" srcOrd="0" destOrd="0" parTransId="{E51F9FA1-E8B1-4270-8A35-E24B9A35683F}" sibTransId="{DF1510B8-B8E1-4E76-B64B-4FD066A90D67}"/>
    <dgm:cxn modelId="{49812B35-E9F9-44E1-B768-43D72393A2C3}" type="presOf" srcId="{556A2FBB-EDD1-479E-BB75-E5DF4EB4AB07}" destId="{536CCCD3-493A-4E92-8A65-3D571C8D8B36}" srcOrd="1" destOrd="0" presId="urn:microsoft.com/office/officeart/2005/8/layout/radial1"/>
    <dgm:cxn modelId="{E32B653A-1CBD-48F7-984C-0A6FC1674B3B}" type="presOf" srcId="{6AB2C7D2-8EA8-4689-A2E8-9CAA079CE863}" destId="{D9D93EB6-830A-41B0-AFE1-CA515207722F}" srcOrd="0" destOrd="0" presId="urn:microsoft.com/office/officeart/2005/8/layout/radial1"/>
    <dgm:cxn modelId="{1F40A642-BA91-42D2-A7CB-5BAF6D00D15B}" type="presOf" srcId="{556A2FBB-EDD1-479E-BB75-E5DF4EB4AB07}" destId="{EEEDD1B0-F3C9-471B-9A7A-A79C2720A4A0}" srcOrd="0" destOrd="0" presId="urn:microsoft.com/office/officeart/2005/8/layout/radial1"/>
    <dgm:cxn modelId="{0B54F744-8750-4019-BDA7-C65D16D226B3}" type="presOf" srcId="{0DD3F45B-5D9B-4E9C-A146-D95F4C5601B7}" destId="{E54C9A1D-60A2-4BD0-9B1F-8695F289BE14}" srcOrd="1" destOrd="0" presId="urn:microsoft.com/office/officeart/2005/8/layout/radial1"/>
    <dgm:cxn modelId="{14BAFC64-8A5C-4456-98BC-363F0724C958}" type="presOf" srcId="{4349A5A9-5C9C-40BC-BC76-C8A3DA1A20FC}" destId="{C972CABF-1C0F-4161-B489-24FF2665FE9A}" srcOrd="1" destOrd="0" presId="urn:microsoft.com/office/officeart/2005/8/layout/radial1"/>
    <dgm:cxn modelId="{DFCF1E48-6322-4C38-9DB5-35AE47B0E7E4}" type="presOf" srcId="{5CCD89CB-54EA-4A42-9577-A73942069029}" destId="{8612C231-6CE6-4551-9DD8-79C6D3FDB36F}" srcOrd="1" destOrd="0" presId="urn:microsoft.com/office/officeart/2005/8/layout/radial1"/>
    <dgm:cxn modelId="{F1650C6A-AAD5-483E-96AA-1D618C158ACE}" type="presOf" srcId="{9B56496C-C3B6-4718-92B7-A4FEE0FE7AE3}" destId="{72CF1F0E-BB6F-4A56-8FBD-68D1B8EF8573}" srcOrd="0" destOrd="0" presId="urn:microsoft.com/office/officeart/2005/8/layout/radial1"/>
    <dgm:cxn modelId="{694E3F4D-9541-44C6-9810-5A43BA4FA78A}" type="presOf" srcId="{15A8FC4D-B129-44C9-AE48-A0475DCD8DAD}" destId="{667F1B70-0FB6-4359-8D8F-0DA3508CC53F}" srcOrd="0" destOrd="0" presId="urn:microsoft.com/office/officeart/2005/8/layout/radial1"/>
    <dgm:cxn modelId="{B1D0386E-1FD8-4B3F-A47B-3D49BA4B433A}" type="presOf" srcId="{0EC34461-59CE-4330-8581-EA1E841FD219}" destId="{491DB5EB-9C31-4383-9A47-5E3F063A1868}" srcOrd="0" destOrd="0" presId="urn:microsoft.com/office/officeart/2005/8/layout/radial1"/>
    <dgm:cxn modelId="{392F9C57-0FAD-43F7-8AAB-92DA194FDCF1}" srcId="{01FA52C2-5D1D-425C-8A96-4EAB0DB14CF8}" destId="{F3B8B222-D426-46DE-9D60-B5C274672809}" srcOrd="3" destOrd="0" parTransId="{4349A5A9-5C9C-40BC-BC76-C8A3DA1A20FC}" sibTransId="{69107E1E-661A-4310-BF9A-1AAABB4C141F}"/>
    <dgm:cxn modelId="{6858A07B-6B0E-4BA0-8B0F-6A617FF11B50}" srcId="{01FA52C2-5D1D-425C-8A96-4EAB0DB14CF8}" destId="{0EC34461-59CE-4330-8581-EA1E841FD219}" srcOrd="6" destOrd="0" parTransId="{0DD3F45B-5D9B-4E9C-A146-D95F4C5601B7}" sibTransId="{24333909-B3E1-4983-B7D6-BEDB494EB5D1}"/>
    <dgm:cxn modelId="{754BC682-001B-4D4A-9D37-9D6AF1F3AC17}" type="presOf" srcId="{6F99C2C4-B5E9-481A-9E51-945E1AEA9CBB}" destId="{CC1039B3-FDE2-486C-B6FB-3F8D7A508D68}" srcOrd="0" destOrd="0" presId="urn:microsoft.com/office/officeart/2005/8/layout/radial1"/>
    <dgm:cxn modelId="{2A885484-FDD9-4C4E-A1EA-B530524696C8}" type="presOf" srcId="{E51F9FA1-E8B1-4270-8A35-E24B9A35683F}" destId="{46078829-E2B8-425D-AEA6-31C3D42349F0}" srcOrd="0" destOrd="0" presId="urn:microsoft.com/office/officeart/2005/8/layout/radial1"/>
    <dgm:cxn modelId="{5063668E-AE2A-4212-BA6B-42E71D2CEA8A}" type="presOf" srcId="{0DD3F45B-5D9B-4E9C-A146-D95F4C5601B7}" destId="{35933A67-5AA5-4C1C-B57A-3589A2C72012}" srcOrd="0" destOrd="0" presId="urn:microsoft.com/office/officeart/2005/8/layout/radial1"/>
    <dgm:cxn modelId="{025F858E-FC34-4A31-B358-5BC02895845A}" type="presOf" srcId="{77147E2A-29AF-45B6-8767-9B01F177EE95}" destId="{8711BD61-E01F-4C34-8809-E5A374E5A4DD}" srcOrd="0" destOrd="0" presId="urn:microsoft.com/office/officeart/2005/8/layout/radial1"/>
    <dgm:cxn modelId="{36DEB1AB-6B30-4FFB-9FCD-D93AA40F5399}" srcId="{01FA52C2-5D1D-425C-8A96-4EAB0DB14CF8}" destId="{77147E2A-29AF-45B6-8767-9B01F177EE95}" srcOrd="4" destOrd="0" parTransId="{6F99C2C4-B5E9-481A-9E51-945E1AEA9CBB}" sibTransId="{B85DD4A3-2F32-4043-8292-D45348ABE120}"/>
    <dgm:cxn modelId="{4BEE68EE-22ED-457E-9836-197CD0C78250}" srcId="{01FA52C2-5D1D-425C-8A96-4EAB0DB14CF8}" destId="{9B56496C-C3B6-4718-92B7-A4FEE0FE7AE3}" srcOrd="5" destOrd="0" parTransId="{6AB2C7D2-8EA8-4689-A2E8-9CAA079CE863}" sibTransId="{654C0958-A68C-4084-B204-C520859A950B}"/>
    <dgm:cxn modelId="{F3A36BF3-5993-4662-B9E9-D56FF24E74BD}" type="presOf" srcId="{DE8C2B23-DFDE-47E4-BA1A-075DAFFDB758}" destId="{5564BE7B-8488-435E-83B9-13F681746120}" srcOrd="0" destOrd="0" presId="urn:microsoft.com/office/officeart/2005/8/layout/radial1"/>
    <dgm:cxn modelId="{99A25CF5-E4E9-40D3-8388-B7E57CC80C26}" srcId="{01FA52C2-5D1D-425C-8A96-4EAB0DB14CF8}" destId="{15A8FC4D-B129-44C9-AE48-A0475DCD8DAD}" srcOrd="2" destOrd="0" parTransId="{556A2FBB-EDD1-479E-BB75-E5DF4EB4AB07}" sibTransId="{71656656-4B7B-4381-8664-36C6EF8B8136}"/>
    <dgm:cxn modelId="{DE2266FB-8A06-4402-8D20-95CB6D2EB488}" srcId="{B62EC0BD-B81F-4628-BC3F-3ED62473A6D1}" destId="{01FA52C2-5D1D-425C-8A96-4EAB0DB14CF8}" srcOrd="0" destOrd="0" parTransId="{CBD316D1-37D1-48C8-993E-57255D05A897}" sibTransId="{4A22612A-E152-4360-844D-8E18FEDC4FD2}"/>
    <dgm:cxn modelId="{2412AAFD-9164-40A9-B12F-8E0466140FD7}" type="presOf" srcId="{F3B8B222-D426-46DE-9D60-B5C274672809}" destId="{09E509D9-A51C-4432-9F63-3C57464CBE73}" srcOrd="0" destOrd="0" presId="urn:microsoft.com/office/officeart/2005/8/layout/radial1"/>
    <dgm:cxn modelId="{FF79B27E-5FBB-40EC-B20B-752C0ED30F31}" type="presParOf" srcId="{5EAEDB44-7B06-4032-B197-84CD60FC1DC9}" destId="{98E920B8-3B53-4EE5-BE33-471269380022}" srcOrd="0" destOrd="0" presId="urn:microsoft.com/office/officeart/2005/8/layout/radial1"/>
    <dgm:cxn modelId="{E0474DB8-F6BB-4049-BB24-883890E3F6CD}" type="presParOf" srcId="{5EAEDB44-7B06-4032-B197-84CD60FC1DC9}" destId="{46078829-E2B8-425D-AEA6-31C3D42349F0}" srcOrd="1" destOrd="0" presId="urn:microsoft.com/office/officeart/2005/8/layout/radial1"/>
    <dgm:cxn modelId="{8B43D1A8-7311-4B8E-BE6D-E2068C9ACF66}" type="presParOf" srcId="{46078829-E2B8-425D-AEA6-31C3D42349F0}" destId="{E10F711B-CAAF-4812-90DC-DAAF56C3674C}" srcOrd="0" destOrd="0" presId="urn:microsoft.com/office/officeart/2005/8/layout/radial1"/>
    <dgm:cxn modelId="{B7BACE42-13BD-40C7-9221-E29B2BAB3877}" type="presParOf" srcId="{5EAEDB44-7B06-4032-B197-84CD60FC1DC9}" destId="{5564BE7B-8488-435E-83B9-13F681746120}" srcOrd="2" destOrd="0" presId="urn:microsoft.com/office/officeart/2005/8/layout/radial1"/>
    <dgm:cxn modelId="{BF62CF4A-6891-4924-A533-3CB9DAB4F52A}" type="presParOf" srcId="{5EAEDB44-7B06-4032-B197-84CD60FC1DC9}" destId="{E763564F-A430-4D09-BCF8-609AFD7608DE}" srcOrd="3" destOrd="0" presId="urn:microsoft.com/office/officeart/2005/8/layout/radial1"/>
    <dgm:cxn modelId="{4F836F09-ADEA-4FB0-9A17-16F8F9428B78}" type="presParOf" srcId="{E763564F-A430-4D09-BCF8-609AFD7608DE}" destId="{8612C231-6CE6-4551-9DD8-79C6D3FDB36F}" srcOrd="0" destOrd="0" presId="urn:microsoft.com/office/officeart/2005/8/layout/radial1"/>
    <dgm:cxn modelId="{D9815BF0-D7D1-45D4-8C84-0045DD5DF37D}" type="presParOf" srcId="{5EAEDB44-7B06-4032-B197-84CD60FC1DC9}" destId="{A53BCD97-6B3D-4530-B632-B694F206DA0B}" srcOrd="4" destOrd="0" presId="urn:microsoft.com/office/officeart/2005/8/layout/radial1"/>
    <dgm:cxn modelId="{55DF09EE-8B4D-4343-AF97-EBDE24956FBB}" type="presParOf" srcId="{5EAEDB44-7B06-4032-B197-84CD60FC1DC9}" destId="{EEEDD1B0-F3C9-471B-9A7A-A79C2720A4A0}" srcOrd="5" destOrd="0" presId="urn:microsoft.com/office/officeart/2005/8/layout/radial1"/>
    <dgm:cxn modelId="{8D2B4BB1-120E-4D2C-B68A-9EFD1E3CC2D5}" type="presParOf" srcId="{EEEDD1B0-F3C9-471B-9A7A-A79C2720A4A0}" destId="{536CCCD3-493A-4E92-8A65-3D571C8D8B36}" srcOrd="0" destOrd="0" presId="urn:microsoft.com/office/officeart/2005/8/layout/radial1"/>
    <dgm:cxn modelId="{65CDC40E-2F87-4A75-B696-FBC67D30D64C}" type="presParOf" srcId="{5EAEDB44-7B06-4032-B197-84CD60FC1DC9}" destId="{667F1B70-0FB6-4359-8D8F-0DA3508CC53F}" srcOrd="6" destOrd="0" presId="urn:microsoft.com/office/officeart/2005/8/layout/radial1"/>
    <dgm:cxn modelId="{6CB4C052-DB83-4445-966D-5098F641AA15}" type="presParOf" srcId="{5EAEDB44-7B06-4032-B197-84CD60FC1DC9}" destId="{F91F2AAE-2DBE-4E15-851A-3B8A7DBED60D}" srcOrd="7" destOrd="0" presId="urn:microsoft.com/office/officeart/2005/8/layout/radial1"/>
    <dgm:cxn modelId="{040BBD15-7DF6-4F49-874A-6C1535B06E0F}" type="presParOf" srcId="{F91F2AAE-2DBE-4E15-851A-3B8A7DBED60D}" destId="{C972CABF-1C0F-4161-B489-24FF2665FE9A}" srcOrd="0" destOrd="0" presId="urn:microsoft.com/office/officeart/2005/8/layout/radial1"/>
    <dgm:cxn modelId="{7C139C7C-BD4E-4298-AD0E-67B6A9275C3C}" type="presParOf" srcId="{5EAEDB44-7B06-4032-B197-84CD60FC1DC9}" destId="{09E509D9-A51C-4432-9F63-3C57464CBE73}" srcOrd="8" destOrd="0" presId="urn:microsoft.com/office/officeart/2005/8/layout/radial1"/>
    <dgm:cxn modelId="{E21D3186-7498-49E5-8E7B-B4ABE0B2983F}" type="presParOf" srcId="{5EAEDB44-7B06-4032-B197-84CD60FC1DC9}" destId="{CC1039B3-FDE2-486C-B6FB-3F8D7A508D68}" srcOrd="9" destOrd="0" presId="urn:microsoft.com/office/officeart/2005/8/layout/radial1"/>
    <dgm:cxn modelId="{AA1B4169-15AF-4996-A8C7-5FBD5E7595D0}" type="presParOf" srcId="{CC1039B3-FDE2-486C-B6FB-3F8D7A508D68}" destId="{50971FE2-A310-435E-957E-6F5309B96B42}" srcOrd="0" destOrd="0" presId="urn:microsoft.com/office/officeart/2005/8/layout/radial1"/>
    <dgm:cxn modelId="{CDE17EC9-FC95-443D-8949-16AEAECC1E2A}" type="presParOf" srcId="{5EAEDB44-7B06-4032-B197-84CD60FC1DC9}" destId="{8711BD61-E01F-4C34-8809-E5A374E5A4DD}" srcOrd="10" destOrd="0" presId="urn:microsoft.com/office/officeart/2005/8/layout/radial1"/>
    <dgm:cxn modelId="{8C0EB593-0592-436E-BF72-594FAA92A058}" type="presParOf" srcId="{5EAEDB44-7B06-4032-B197-84CD60FC1DC9}" destId="{D9D93EB6-830A-41B0-AFE1-CA515207722F}" srcOrd="11" destOrd="0" presId="urn:microsoft.com/office/officeart/2005/8/layout/radial1"/>
    <dgm:cxn modelId="{5ADA5535-CFE4-459F-A44F-6E0540DB97BA}" type="presParOf" srcId="{D9D93EB6-830A-41B0-AFE1-CA515207722F}" destId="{4AB5FE45-75A0-46CD-9B50-D97E3A186BFA}" srcOrd="0" destOrd="0" presId="urn:microsoft.com/office/officeart/2005/8/layout/radial1"/>
    <dgm:cxn modelId="{425308DF-74B2-4553-B504-0D585CD30772}" type="presParOf" srcId="{5EAEDB44-7B06-4032-B197-84CD60FC1DC9}" destId="{72CF1F0E-BB6F-4A56-8FBD-68D1B8EF8573}" srcOrd="12" destOrd="0" presId="urn:microsoft.com/office/officeart/2005/8/layout/radial1"/>
    <dgm:cxn modelId="{E051044D-AB04-4275-B0A3-EFBC24647FEF}" type="presParOf" srcId="{5EAEDB44-7B06-4032-B197-84CD60FC1DC9}" destId="{35933A67-5AA5-4C1C-B57A-3589A2C72012}" srcOrd="13" destOrd="0" presId="urn:microsoft.com/office/officeart/2005/8/layout/radial1"/>
    <dgm:cxn modelId="{73A3ACDE-1267-477E-A039-B7E4587BC88F}" type="presParOf" srcId="{35933A67-5AA5-4C1C-B57A-3589A2C72012}" destId="{E54C9A1D-60A2-4BD0-9B1F-8695F289BE14}" srcOrd="0" destOrd="0" presId="urn:microsoft.com/office/officeart/2005/8/layout/radial1"/>
    <dgm:cxn modelId="{41B56EF9-E752-4C32-825B-856C8C87C1DE}" type="presParOf" srcId="{5EAEDB44-7B06-4032-B197-84CD60FC1DC9}" destId="{491DB5EB-9C31-4383-9A47-5E3F063A1868}" srcOrd="14" destOrd="0" presId="urn:microsoft.com/office/officeart/2005/8/layout/radial1"/>
  </dgm:cxnLst>
  <dgm:bg>
    <a:noFill/>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920B8-3B53-4EE5-BE33-471269380022}">
      <dsp:nvSpPr>
        <dsp:cNvPr id="0" name=""/>
        <dsp:cNvSpPr/>
      </dsp:nvSpPr>
      <dsp:spPr>
        <a:xfrm>
          <a:off x="2327969" y="1246598"/>
          <a:ext cx="830460" cy="8304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ln>
                <a:noFill/>
              </a:ln>
            </a:rPr>
            <a:t>Risk Groups</a:t>
          </a:r>
        </a:p>
      </dsp:txBody>
      <dsp:txXfrm>
        <a:off x="2449587" y="1368216"/>
        <a:ext cx="587224" cy="587224"/>
      </dsp:txXfrm>
    </dsp:sp>
    <dsp:sp modelId="{46078829-E2B8-425D-AEA6-31C3D42349F0}">
      <dsp:nvSpPr>
        <dsp:cNvPr id="0" name=""/>
        <dsp:cNvSpPr/>
      </dsp:nvSpPr>
      <dsp:spPr>
        <a:xfrm rot="14793439">
          <a:off x="2404111" y="1153113"/>
          <a:ext cx="248808" cy="27246"/>
        </a:xfrm>
        <a:custGeom>
          <a:avLst/>
          <a:gdLst/>
          <a:ahLst/>
          <a:cxnLst/>
          <a:rect l="0" t="0" r="0" b="0"/>
          <a:pathLst>
            <a:path>
              <a:moveTo>
                <a:pt x="0" y="13623"/>
              </a:moveTo>
              <a:lnTo>
                <a:pt x="248808" y="136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n>
              <a:noFill/>
            </a:ln>
          </a:endParaRPr>
        </a:p>
      </dsp:txBody>
      <dsp:txXfrm rot="10800000">
        <a:off x="2522296" y="1160515"/>
        <a:ext cx="12440" cy="12440"/>
      </dsp:txXfrm>
    </dsp:sp>
    <dsp:sp modelId="{5564BE7B-8488-435E-83B9-13F681746120}">
      <dsp:nvSpPr>
        <dsp:cNvPr id="0" name=""/>
        <dsp:cNvSpPr/>
      </dsp:nvSpPr>
      <dsp:spPr>
        <a:xfrm>
          <a:off x="1898602" y="256413"/>
          <a:ext cx="830460" cy="8304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n>
                <a:noFill/>
              </a:ln>
            </a:rPr>
            <a:t>People </a:t>
          </a:r>
        </a:p>
      </dsp:txBody>
      <dsp:txXfrm>
        <a:off x="2020220" y="378031"/>
        <a:ext cx="587224" cy="587224"/>
      </dsp:txXfrm>
    </dsp:sp>
    <dsp:sp modelId="{E763564F-A430-4D09-BCF8-609AFD7608DE}">
      <dsp:nvSpPr>
        <dsp:cNvPr id="0" name=""/>
        <dsp:cNvSpPr/>
      </dsp:nvSpPr>
      <dsp:spPr>
        <a:xfrm rot="18798773">
          <a:off x="2972104" y="1216466"/>
          <a:ext cx="356257" cy="27246"/>
        </a:xfrm>
        <a:custGeom>
          <a:avLst/>
          <a:gdLst/>
          <a:ahLst/>
          <a:cxnLst/>
          <a:rect l="0" t="0" r="0" b="0"/>
          <a:pathLst>
            <a:path>
              <a:moveTo>
                <a:pt x="0" y="13623"/>
              </a:moveTo>
              <a:lnTo>
                <a:pt x="356257" y="136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n>
              <a:noFill/>
            </a:ln>
          </a:endParaRPr>
        </a:p>
      </dsp:txBody>
      <dsp:txXfrm>
        <a:off x="3141327" y="1221182"/>
        <a:ext cx="17812" cy="17812"/>
      </dsp:txXfrm>
    </dsp:sp>
    <dsp:sp modelId="{A53BCD97-6B3D-4530-B632-B694F206DA0B}">
      <dsp:nvSpPr>
        <dsp:cNvPr id="0" name=""/>
        <dsp:cNvSpPr/>
      </dsp:nvSpPr>
      <dsp:spPr>
        <a:xfrm>
          <a:off x="3142037" y="383119"/>
          <a:ext cx="830460" cy="8304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n>
                <a:noFill/>
              </a:ln>
            </a:rPr>
            <a:t>Property</a:t>
          </a:r>
        </a:p>
      </dsp:txBody>
      <dsp:txXfrm>
        <a:off x="3263655" y="504737"/>
        <a:ext cx="587224" cy="587224"/>
      </dsp:txXfrm>
    </dsp:sp>
    <dsp:sp modelId="{EEEDD1B0-F3C9-471B-9A7A-A79C2720A4A0}">
      <dsp:nvSpPr>
        <dsp:cNvPr id="0" name=""/>
        <dsp:cNvSpPr/>
      </dsp:nvSpPr>
      <dsp:spPr>
        <a:xfrm rot="771429">
          <a:off x="3142827" y="1786683"/>
          <a:ext cx="414170" cy="27246"/>
        </a:xfrm>
        <a:custGeom>
          <a:avLst/>
          <a:gdLst/>
          <a:ahLst/>
          <a:cxnLst/>
          <a:rect l="0" t="0" r="0" b="0"/>
          <a:pathLst>
            <a:path>
              <a:moveTo>
                <a:pt x="0" y="13623"/>
              </a:moveTo>
              <a:lnTo>
                <a:pt x="414170" y="136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n>
              <a:noFill/>
            </a:ln>
          </a:endParaRPr>
        </a:p>
      </dsp:txBody>
      <dsp:txXfrm>
        <a:off x="3339558" y="1789952"/>
        <a:ext cx="20708" cy="20708"/>
      </dsp:txXfrm>
    </dsp:sp>
    <dsp:sp modelId="{667F1B70-0FB6-4359-8D8F-0DA3508CC53F}">
      <dsp:nvSpPr>
        <dsp:cNvPr id="0" name=""/>
        <dsp:cNvSpPr/>
      </dsp:nvSpPr>
      <dsp:spPr>
        <a:xfrm>
          <a:off x="3541395" y="1523554"/>
          <a:ext cx="830460" cy="8304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n>
                <a:noFill/>
              </a:ln>
            </a:rPr>
            <a:t>Business</a:t>
          </a:r>
        </a:p>
      </dsp:txBody>
      <dsp:txXfrm>
        <a:off x="3663013" y="1645172"/>
        <a:ext cx="587224" cy="587224"/>
      </dsp:txXfrm>
    </dsp:sp>
    <dsp:sp modelId="{F91F2AAE-2DBE-4E15-851A-3B8A7DBED60D}">
      <dsp:nvSpPr>
        <dsp:cNvPr id="0" name=""/>
        <dsp:cNvSpPr/>
      </dsp:nvSpPr>
      <dsp:spPr>
        <a:xfrm rot="3857143">
          <a:off x="2806127" y="2208892"/>
          <a:ext cx="414170" cy="27246"/>
        </a:xfrm>
        <a:custGeom>
          <a:avLst/>
          <a:gdLst/>
          <a:ahLst/>
          <a:cxnLst/>
          <a:rect l="0" t="0" r="0" b="0"/>
          <a:pathLst>
            <a:path>
              <a:moveTo>
                <a:pt x="0" y="13623"/>
              </a:moveTo>
              <a:lnTo>
                <a:pt x="414170" y="136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n>
              <a:noFill/>
            </a:ln>
          </a:endParaRPr>
        </a:p>
      </dsp:txBody>
      <dsp:txXfrm>
        <a:off x="3002858" y="2212161"/>
        <a:ext cx="20708" cy="20708"/>
      </dsp:txXfrm>
    </dsp:sp>
    <dsp:sp modelId="{09E509D9-A51C-4432-9F63-3C57464CBE73}">
      <dsp:nvSpPr>
        <dsp:cNvPr id="0" name=""/>
        <dsp:cNvSpPr/>
      </dsp:nvSpPr>
      <dsp:spPr>
        <a:xfrm>
          <a:off x="2867994" y="2367972"/>
          <a:ext cx="830460" cy="8304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n>
                <a:noFill/>
              </a:ln>
            </a:rPr>
            <a:t>Environment</a:t>
          </a:r>
        </a:p>
      </dsp:txBody>
      <dsp:txXfrm>
        <a:off x="2989612" y="2489590"/>
        <a:ext cx="587224" cy="587224"/>
      </dsp:txXfrm>
    </dsp:sp>
    <dsp:sp modelId="{CC1039B3-FDE2-486C-B6FB-3F8D7A508D68}">
      <dsp:nvSpPr>
        <dsp:cNvPr id="0" name=""/>
        <dsp:cNvSpPr/>
      </dsp:nvSpPr>
      <dsp:spPr>
        <a:xfrm rot="6942857">
          <a:off x="2266102" y="2208892"/>
          <a:ext cx="414170" cy="27246"/>
        </a:xfrm>
        <a:custGeom>
          <a:avLst/>
          <a:gdLst/>
          <a:ahLst/>
          <a:cxnLst/>
          <a:rect l="0" t="0" r="0" b="0"/>
          <a:pathLst>
            <a:path>
              <a:moveTo>
                <a:pt x="0" y="13623"/>
              </a:moveTo>
              <a:lnTo>
                <a:pt x="414170" y="136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n>
              <a:noFill/>
            </a:ln>
          </a:endParaRPr>
        </a:p>
      </dsp:txBody>
      <dsp:txXfrm rot="10800000">
        <a:off x="2462833" y="2212161"/>
        <a:ext cx="20708" cy="20708"/>
      </dsp:txXfrm>
    </dsp:sp>
    <dsp:sp modelId="{8711BD61-E01F-4C34-8809-E5A374E5A4DD}">
      <dsp:nvSpPr>
        <dsp:cNvPr id="0" name=""/>
        <dsp:cNvSpPr/>
      </dsp:nvSpPr>
      <dsp:spPr>
        <a:xfrm>
          <a:off x="1787944" y="2367972"/>
          <a:ext cx="830460" cy="8304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n>
                <a:noFill/>
              </a:ln>
            </a:rPr>
            <a:t>Heritage</a:t>
          </a:r>
        </a:p>
      </dsp:txBody>
      <dsp:txXfrm>
        <a:off x="1909562" y="2489590"/>
        <a:ext cx="587224" cy="587224"/>
      </dsp:txXfrm>
    </dsp:sp>
    <dsp:sp modelId="{D9D93EB6-830A-41B0-AFE1-CA515207722F}">
      <dsp:nvSpPr>
        <dsp:cNvPr id="0" name=""/>
        <dsp:cNvSpPr/>
      </dsp:nvSpPr>
      <dsp:spPr>
        <a:xfrm rot="10780899">
          <a:off x="1968845" y="1651510"/>
          <a:ext cx="359132" cy="27246"/>
        </a:xfrm>
        <a:custGeom>
          <a:avLst/>
          <a:gdLst/>
          <a:ahLst/>
          <a:cxnLst/>
          <a:rect l="0" t="0" r="0" b="0"/>
          <a:pathLst>
            <a:path>
              <a:moveTo>
                <a:pt x="0" y="13623"/>
              </a:moveTo>
              <a:lnTo>
                <a:pt x="359132" y="136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n>
              <a:noFill/>
            </a:ln>
          </a:endParaRPr>
        </a:p>
      </dsp:txBody>
      <dsp:txXfrm rot="10800000">
        <a:off x="2139434" y="1656155"/>
        <a:ext cx="17956" cy="17956"/>
      </dsp:txXfrm>
    </dsp:sp>
    <dsp:sp modelId="{72CF1F0E-BB6F-4A56-8FBD-68D1B8EF8573}">
      <dsp:nvSpPr>
        <dsp:cNvPr id="0" name=""/>
        <dsp:cNvSpPr/>
      </dsp:nvSpPr>
      <dsp:spPr>
        <a:xfrm>
          <a:off x="1138394" y="1253207"/>
          <a:ext cx="830460" cy="83046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n>
                <a:noFill/>
              </a:ln>
            </a:rPr>
            <a:t>Community</a:t>
          </a:r>
        </a:p>
      </dsp:txBody>
      <dsp:txXfrm>
        <a:off x="1260012" y="1374825"/>
        <a:ext cx="587224" cy="587224"/>
      </dsp:txXfrm>
    </dsp:sp>
    <dsp:sp modelId="{35933A67-5AA5-4C1C-B57A-3589A2C72012}">
      <dsp:nvSpPr>
        <dsp:cNvPr id="0" name=""/>
        <dsp:cNvSpPr/>
      </dsp:nvSpPr>
      <dsp:spPr>
        <a:xfrm rot="12561819">
          <a:off x="1097099" y="1108124"/>
          <a:ext cx="1372375" cy="27246"/>
        </a:xfrm>
        <a:custGeom>
          <a:avLst/>
          <a:gdLst/>
          <a:ahLst/>
          <a:cxnLst/>
          <a:rect l="0" t="0" r="0" b="0"/>
          <a:pathLst>
            <a:path>
              <a:moveTo>
                <a:pt x="0" y="13623"/>
              </a:moveTo>
              <a:lnTo>
                <a:pt x="1372375" y="136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748977" y="1087437"/>
        <a:ext cx="68618" cy="68618"/>
      </dsp:txXfrm>
    </dsp:sp>
    <dsp:sp modelId="{491DB5EB-9C31-4383-9A47-5E3F063A1868}">
      <dsp:nvSpPr>
        <dsp:cNvPr id="0" name=""/>
        <dsp:cNvSpPr/>
      </dsp:nvSpPr>
      <dsp:spPr>
        <a:xfrm>
          <a:off x="179803" y="316541"/>
          <a:ext cx="1265987" cy="51834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Operational     Emergency resonders  FRS Equpment</a:t>
          </a:r>
        </a:p>
      </dsp:txBody>
      <dsp:txXfrm>
        <a:off x="365203" y="392451"/>
        <a:ext cx="895187" cy="3665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1F6360BDD04F89F0DFDA44A8C8B9" ma:contentTypeVersion="26" ma:contentTypeDescription="Create a new document." ma:contentTypeScope="" ma:versionID="55547ed28cf47b75cfccf45790254714">
  <xsd:schema xmlns:xsd="http://www.w3.org/2001/XMLSchema" xmlns:xs="http://www.w3.org/2001/XMLSchema" xmlns:p="http://schemas.microsoft.com/office/2006/metadata/properties" xmlns:ns2="b48eabcc-ad5b-4292-878e-4febbc50835d" xmlns:ns3="aa90963d-48b8-42e8-a064-e2f251e3c647" targetNamespace="http://schemas.microsoft.com/office/2006/metadata/properties" ma:root="true" ma:fieldsID="dd5803948ff2c67302f7db62fed3896b" ns2:_="" ns3:_="">
    <xsd:import namespace="b48eabcc-ad5b-4292-878e-4febbc50835d"/>
    <xsd:import namespace="aa90963d-48b8-42e8-a064-e2f251e3c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haringHintHash" minOccurs="0"/>
                <xsd:element ref="ns2:UniqueSourceRef" minOccurs="0"/>
                <xsd:element ref="ns2:FileHash" minOccurs="0"/>
                <xsd:element ref="ns2:CloudMigratorVersion" minOccurs="0"/>
                <xsd:element ref="ns2:Classification"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Week" minOccurs="0"/>
                <xsd:element ref="ns2:lcf76f155ced4ddcb4097134ff3c332f" minOccurs="0"/>
                <xsd:element ref="ns3:TaxCatchAll" minOccurs="0"/>
                <xsd:element ref="ns2:Yea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abcc-ad5b-4292-878e-4febbc50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HintHash" ma:index="12" nillable="true" ma:displayName="Sharing Hint Hash" ma:description="" ma:hidden="true" ma:internalName="SharingHintHash" ma:readOnly="true">
      <xsd:simpleType>
        <xsd:restriction base="dms:Text"/>
      </xsd:simpleType>
    </xsd:element>
    <xsd:element name="UniqueSourceRef" ma:index="13" nillable="true" ma:displayName="UniqueSourceRef" ma:internalName="UniqueSourceRef">
      <xsd:simpleType>
        <xsd:restriction base="dms:Note">
          <xsd:maxLength value="255"/>
        </xsd:restriction>
      </xsd:simpleType>
    </xsd:element>
    <xsd:element name="FileHash" ma:index="14" nillable="true" ma:displayName="FileHash" ma:internalName="FileHash">
      <xsd:simpleType>
        <xsd:restriction base="dms:Note">
          <xsd:maxLength value="255"/>
        </xsd:restriction>
      </xsd:simpleType>
    </xsd:element>
    <xsd:element name="CloudMigratorVersion" ma:index="15" nillable="true" ma:displayName="CloudMigratorVersion" ma:internalName="CloudMigratorVersion">
      <xsd:simpleType>
        <xsd:restriction base="dms:Note">
          <xsd:maxLength value="255"/>
        </xsd:restriction>
      </xsd:simpleType>
    </xsd:element>
    <xsd:element name="Classification" ma:index="16" nillable="true" ma:displayName="Classification" ma:description="use the phases of the project to classify documents" ma:internalName="Classification">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Week" ma:index="24" nillable="true" ma:displayName="Week" ma:format="Dropdown" ma:internalName="Week"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Year" ma:index="28" nillable="true" ma:displayName="Year" ma:format="Dropdown" ma:internalName="Year">
      <xsd:simpleType>
        <xsd:restriction base="dms:Choice">
          <xsd:enumeration value="2023"/>
          <xsd:enumeration value="2022"/>
          <xsd:enumeration value="2021"/>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90963d-48b8-42e8-a064-e2f251e3c647"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c37e55a-1229-42b3-8bff-aa616c237dc9}" ma:internalName="TaxCatchAll" ma:showField="CatchAllData" ma:web="aa90963d-48b8-42e8-a064-e2f251e3c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a90963d-48b8-42e8-a064-e2f251e3c647" xsi:nil="true"/>
    <Classification xmlns="b48eabcc-ad5b-4292-878e-4febbc50835d" xsi:nil="true"/>
    <Year xmlns="b48eabcc-ad5b-4292-878e-4febbc50835d" xsi:nil="true"/>
    <Week xmlns="b48eabcc-ad5b-4292-878e-4febbc50835d" xsi:nil="true"/>
    <lcf76f155ced4ddcb4097134ff3c332f xmlns="b48eabcc-ad5b-4292-878e-4febbc50835d">
      <Terms xmlns="http://schemas.microsoft.com/office/infopath/2007/PartnerControls"/>
    </lcf76f155ced4ddcb4097134ff3c332f>
    <FileHash xmlns="b48eabcc-ad5b-4292-878e-4febbc50835d" xsi:nil="true"/>
    <UniqueSourceRef xmlns="b48eabcc-ad5b-4292-878e-4febbc50835d" xsi:nil="true"/>
    <CloudMigratorVersion xmlns="b48eabcc-ad5b-4292-878e-4febbc50835d" xsi:nil="true"/>
    <SharedWithUsers xmlns="aa90963d-48b8-42e8-a064-e2f251e3c647">
      <UserInfo>
        <DisplayName/>
        <AccountId xsi:nil="true"/>
        <AccountType/>
      </UserInfo>
    </SharedWithUsers>
    <MediaLengthInSeconds xmlns="b48eabcc-ad5b-4292-878e-4febbc5083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2C7B7-3942-481F-88F3-238EA68EA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abcc-ad5b-4292-878e-4febbc50835d"/>
    <ds:schemaRef ds:uri="aa90963d-48b8-42e8-a064-e2f251e3c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BAFA1-E1BF-4730-8EC0-3D4842C673B0}">
  <ds:schemaRefs>
    <ds:schemaRef ds:uri="http://schemas.microsoft.com/sharepoint/v3/contenttype/forms"/>
  </ds:schemaRefs>
</ds:datastoreItem>
</file>

<file path=customXml/itemProps3.xml><?xml version="1.0" encoding="utf-8"?>
<ds:datastoreItem xmlns:ds="http://schemas.openxmlformats.org/officeDocument/2006/customXml" ds:itemID="{8175AAF9-B546-465C-AC08-CB599EABC537}">
  <ds:schemaRefs>
    <ds:schemaRef ds:uri="http://schemas.microsoft.com/office/2006/metadata/properties"/>
    <ds:schemaRef ds:uri="http://schemas.microsoft.com/office/infopath/2007/PartnerControls"/>
    <ds:schemaRef ds:uri="aa90963d-48b8-42e8-a064-e2f251e3c647"/>
    <ds:schemaRef ds:uri="b48eabcc-ad5b-4292-878e-4febbc50835d"/>
  </ds:schemaRefs>
</ds:datastoreItem>
</file>

<file path=customXml/itemProps4.xml><?xml version="1.0" encoding="utf-8"?>
<ds:datastoreItem xmlns:ds="http://schemas.openxmlformats.org/officeDocument/2006/customXml" ds:itemID="{884DBD78-231B-4F3A-9C5C-7509A129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2058</Words>
  <Characters>11734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Jones</dc:creator>
  <cp:keywords/>
  <dc:description/>
  <cp:lastModifiedBy>Rachael Lorimer</cp:lastModifiedBy>
  <cp:revision>2</cp:revision>
  <dcterms:created xsi:type="dcterms:W3CDTF">2023-03-14T09:30:00Z</dcterms:created>
  <dcterms:modified xsi:type="dcterms:W3CDTF">2023-03-14T09:30:00Z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0x0101002BF91F6360BDD04F89F0DFDA44A8C8B9</vt:lpwstr>
  </property>
  <property fmtid="{D5CDD505-2E9C-101B-9397-08002B2CF9AE}" pid="3" name="Order">
    <vt:r8>54200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